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54" w:rsidRPr="0034490C" w:rsidRDefault="00A2573A" w:rsidP="0034490C">
      <w:pPr>
        <w:jc w:val="center"/>
        <w:rPr>
          <w:b/>
          <w:sz w:val="28"/>
          <w:szCs w:val="28"/>
        </w:rPr>
      </w:pPr>
      <w:bookmarkStart w:id="0" w:name="_GoBack"/>
      <w:r w:rsidRPr="0034490C">
        <w:rPr>
          <w:b/>
          <w:sz w:val="28"/>
          <w:szCs w:val="28"/>
        </w:rPr>
        <w:t xml:space="preserve">Sample Scope and Sequence: </w:t>
      </w:r>
      <w:r w:rsidR="005A5797" w:rsidRPr="0034490C">
        <w:rPr>
          <w:b/>
          <w:sz w:val="28"/>
          <w:szCs w:val="28"/>
        </w:rPr>
        <w:t>English</w:t>
      </w:r>
      <w:r w:rsidR="003C1E54" w:rsidRPr="0034490C">
        <w:rPr>
          <w:b/>
          <w:sz w:val="28"/>
          <w:szCs w:val="28"/>
        </w:rPr>
        <w:t xml:space="preserve"> </w:t>
      </w:r>
      <w:r w:rsidR="00C71E34" w:rsidRPr="0034490C">
        <w:rPr>
          <w:b/>
          <w:sz w:val="28"/>
          <w:szCs w:val="28"/>
        </w:rPr>
        <w:t xml:space="preserve">EAL/D </w:t>
      </w:r>
      <w:r w:rsidR="003C1E54" w:rsidRPr="0034490C">
        <w:rPr>
          <w:b/>
          <w:sz w:val="28"/>
          <w:szCs w:val="28"/>
        </w:rPr>
        <w:t>– Year</w:t>
      </w:r>
      <w:r w:rsidR="00366C19" w:rsidRPr="0034490C">
        <w:rPr>
          <w:b/>
          <w:sz w:val="28"/>
          <w:szCs w:val="28"/>
        </w:rPr>
        <w:t xml:space="preserve"> 1</w:t>
      </w:r>
      <w:r w:rsidR="00C71E34" w:rsidRPr="0034490C">
        <w:rPr>
          <w:b/>
          <w:sz w:val="28"/>
          <w:szCs w:val="28"/>
        </w:rPr>
        <w:t>1</w:t>
      </w:r>
      <w:r w:rsidR="000D75EE" w:rsidRPr="0034490C">
        <w:rPr>
          <w:b/>
          <w:sz w:val="28"/>
          <w:szCs w:val="28"/>
        </w:rPr>
        <w:t xml:space="preserve"> (A)</w:t>
      </w:r>
    </w:p>
    <w:bookmarkEnd w:id="0"/>
    <w:p w:rsidR="00FA1A16" w:rsidRPr="00FA1A16" w:rsidRDefault="00FA1A16" w:rsidP="00FA1A1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11 from 2018</w:t>
      </w:r>
    </w:p>
    <w:tbl>
      <w:tblPr>
        <w:tblStyle w:val="TableGrid"/>
        <w:tblW w:w="15412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 1). The table describes the unit (row 2), outlines the course requirements (row 3), and identifies the syllabus outcomes (row 4)"/>
      </w:tblPr>
      <w:tblGrid>
        <w:gridCol w:w="522"/>
        <w:gridCol w:w="39"/>
        <w:gridCol w:w="1393"/>
        <w:gridCol w:w="88"/>
        <w:gridCol w:w="81"/>
        <w:gridCol w:w="1266"/>
        <w:gridCol w:w="136"/>
        <w:gridCol w:w="15"/>
        <w:gridCol w:w="567"/>
        <w:gridCol w:w="718"/>
        <w:gridCol w:w="133"/>
        <w:gridCol w:w="51"/>
        <w:gridCol w:w="1483"/>
        <w:gridCol w:w="29"/>
        <w:gridCol w:w="1417"/>
        <w:gridCol w:w="39"/>
        <w:gridCol w:w="240"/>
        <w:gridCol w:w="1244"/>
        <w:gridCol w:w="47"/>
        <w:gridCol w:w="145"/>
        <w:gridCol w:w="1262"/>
        <w:gridCol w:w="29"/>
        <w:gridCol w:w="144"/>
        <w:gridCol w:w="1386"/>
        <w:gridCol w:w="50"/>
        <w:gridCol w:w="1368"/>
        <w:gridCol w:w="20"/>
        <w:gridCol w:w="48"/>
        <w:gridCol w:w="1436"/>
        <w:gridCol w:w="16"/>
      </w:tblGrid>
      <w:tr w:rsidR="00C71E34" w:rsidRPr="00725078" w:rsidTr="00725078">
        <w:trPr>
          <w:gridAfter w:val="1"/>
          <w:wAfter w:w="16" w:type="dxa"/>
          <w:tblHeader/>
        </w:trPr>
        <w:tc>
          <w:tcPr>
            <w:tcW w:w="561" w:type="dxa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71E34" w:rsidRPr="00725078" w:rsidRDefault="00C71E34" w:rsidP="00C71E34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Term 1</w:t>
            </w:r>
          </w:p>
        </w:tc>
        <w:tc>
          <w:tcPr>
            <w:tcW w:w="14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E34" w:rsidRPr="00725078" w:rsidRDefault="00C71E34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148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E34" w:rsidRPr="00725078" w:rsidRDefault="00C71E34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148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E34" w:rsidRPr="00725078" w:rsidRDefault="00C71E34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3</w:t>
            </w:r>
          </w:p>
        </w:tc>
        <w:tc>
          <w:tcPr>
            <w:tcW w:w="1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E34" w:rsidRPr="00725078" w:rsidRDefault="00C71E34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14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E34" w:rsidRPr="00725078" w:rsidRDefault="00C71E34" w:rsidP="00A6042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25078">
              <w:rPr>
                <w:b/>
                <w:sz w:val="20"/>
                <w:szCs w:val="20"/>
              </w:rPr>
              <w:t>Week 5</w:t>
            </w:r>
          </w:p>
        </w:tc>
        <w:tc>
          <w:tcPr>
            <w:tcW w:w="148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E34" w:rsidRPr="00725078" w:rsidRDefault="00C71E34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6</w:t>
            </w:r>
          </w:p>
        </w:tc>
        <w:tc>
          <w:tcPr>
            <w:tcW w:w="148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E34" w:rsidRPr="00725078" w:rsidRDefault="00C71E34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7</w:t>
            </w:r>
          </w:p>
        </w:tc>
        <w:tc>
          <w:tcPr>
            <w:tcW w:w="153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E34" w:rsidRPr="00725078" w:rsidRDefault="00C71E34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8</w:t>
            </w:r>
          </w:p>
        </w:tc>
        <w:tc>
          <w:tcPr>
            <w:tcW w:w="1438" w:type="dxa"/>
            <w:gridSpan w:val="3"/>
          </w:tcPr>
          <w:p w:rsidR="00C71E34" w:rsidRPr="00725078" w:rsidRDefault="00C71E34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9</w:t>
            </w:r>
          </w:p>
        </w:tc>
        <w:tc>
          <w:tcPr>
            <w:tcW w:w="148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E34" w:rsidRPr="00725078" w:rsidRDefault="00C71E34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10</w:t>
            </w:r>
          </w:p>
        </w:tc>
      </w:tr>
      <w:tr w:rsidR="005C265E" w:rsidRPr="00725078" w:rsidTr="00725078">
        <w:trPr>
          <w:gridAfter w:val="1"/>
          <w:wAfter w:w="16" w:type="dxa"/>
          <w:cantSplit/>
          <w:tblHeader/>
        </w:trPr>
        <w:tc>
          <w:tcPr>
            <w:tcW w:w="561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265E" w:rsidRPr="00725078" w:rsidRDefault="005C265E" w:rsidP="00FF429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1913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265E" w:rsidRPr="00725078" w:rsidRDefault="00C71E34" w:rsidP="00FF4292">
            <w:pPr>
              <w:rPr>
                <w:rFonts w:cs="Arial"/>
                <w:b/>
                <w:i/>
                <w:sz w:val="20"/>
                <w:szCs w:val="20"/>
              </w:rPr>
            </w:pPr>
            <w:r w:rsidRPr="00725078">
              <w:rPr>
                <w:rFonts w:cs="Arial"/>
                <w:b/>
                <w:i/>
                <w:sz w:val="20"/>
                <w:szCs w:val="20"/>
              </w:rPr>
              <w:t>Module A: Language, Texts and Contexts (30 hours)</w:t>
            </w:r>
          </w:p>
          <w:p w:rsidR="005C265E" w:rsidRPr="00725078" w:rsidRDefault="005B37ED" w:rsidP="00252948">
            <w:pPr>
              <w:rPr>
                <w:rFonts w:cs="Arial"/>
                <w:i/>
                <w:sz w:val="20"/>
                <w:szCs w:val="20"/>
              </w:rPr>
            </w:pPr>
            <w:r w:rsidRPr="00725078">
              <w:rPr>
                <w:sz w:val="20"/>
                <w:szCs w:val="20"/>
              </w:rPr>
              <w:t xml:space="preserve">This module will use a variety of </w:t>
            </w:r>
            <w:r w:rsidR="00AB06FC" w:rsidRPr="00725078">
              <w:rPr>
                <w:sz w:val="20"/>
                <w:szCs w:val="20"/>
              </w:rPr>
              <w:t xml:space="preserve">largely </w:t>
            </w:r>
            <w:r w:rsidRPr="00725078">
              <w:rPr>
                <w:sz w:val="20"/>
                <w:szCs w:val="20"/>
              </w:rPr>
              <w:t xml:space="preserve">short texts </w:t>
            </w:r>
            <w:r w:rsidR="00AB06FC" w:rsidRPr="00725078">
              <w:rPr>
                <w:sz w:val="20"/>
                <w:szCs w:val="20"/>
              </w:rPr>
              <w:t xml:space="preserve">that represent the person and ‘story’ of Ned Kelly to </w:t>
            </w:r>
            <w:r w:rsidRPr="00725078">
              <w:rPr>
                <w:sz w:val="20"/>
                <w:szCs w:val="20"/>
              </w:rPr>
              <w:t xml:space="preserve">help students with their comprehension, language analysis and to </w:t>
            </w:r>
            <w:r w:rsidR="00AB06FC" w:rsidRPr="00725078">
              <w:rPr>
                <w:sz w:val="20"/>
                <w:szCs w:val="20"/>
              </w:rPr>
              <w:t>develop students’</w:t>
            </w:r>
            <w:r w:rsidRPr="00725078">
              <w:rPr>
                <w:sz w:val="20"/>
                <w:szCs w:val="20"/>
              </w:rPr>
              <w:t xml:space="preserve"> personal, critical and creative responses. </w:t>
            </w:r>
          </w:p>
        </w:tc>
        <w:tc>
          <w:tcPr>
            <w:tcW w:w="2922" w:type="dxa"/>
            <w:gridSpan w:val="5"/>
          </w:tcPr>
          <w:p w:rsidR="005C265E" w:rsidRPr="00725078" w:rsidRDefault="00C41952" w:rsidP="005C265E">
            <w:pPr>
              <w:rPr>
                <w:rFonts w:cs="Arial"/>
                <w:b/>
                <w:i/>
                <w:sz w:val="20"/>
                <w:szCs w:val="20"/>
              </w:rPr>
            </w:pPr>
            <w:r w:rsidRPr="00725078">
              <w:rPr>
                <w:rFonts w:cs="Arial"/>
                <w:b/>
                <w:i/>
                <w:sz w:val="20"/>
                <w:szCs w:val="20"/>
              </w:rPr>
              <w:t xml:space="preserve">Module </w:t>
            </w:r>
            <w:r w:rsidR="00C71E34" w:rsidRPr="00725078">
              <w:rPr>
                <w:rFonts w:cs="Arial"/>
                <w:b/>
                <w:i/>
                <w:sz w:val="20"/>
                <w:szCs w:val="20"/>
              </w:rPr>
              <w:t>B:</w:t>
            </w:r>
            <w:r w:rsidRPr="00725078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C71E34" w:rsidRPr="00725078">
              <w:rPr>
                <w:rFonts w:cs="Arial"/>
                <w:b/>
                <w:i/>
                <w:sz w:val="20"/>
                <w:szCs w:val="20"/>
              </w:rPr>
              <w:t>Close Study of Text (30 hours)</w:t>
            </w:r>
          </w:p>
          <w:p w:rsidR="005C265E" w:rsidRPr="00725078" w:rsidRDefault="005C265E" w:rsidP="00252948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5A5797" w:rsidRPr="00725078" w:rsidTr="00725078">
        <w:trPr>
          <w:gridAfter w:val="1"/>
          <w:wAfter w:w="16" w:type="dxa"/>
          <w:cantSplit/>
          <w:tblHeader/>
        </w:trPr>
        <w:tc>
          <w:tcPr>
            <w:tcW w:w="561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725078" w:rsidRDefault="005A5797" w:rsidP="00FF42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13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F31" w:rsidRPr="00725078" w:rsidRDefault="005B37ED" w:rsidP="00FF4292">
            <w:pPr>
              <w:rPr>
                <w:rFonts w:cs="Arial"/>
                <w:sz w:val="20"/>
                <w:szCs w:val="20"/>
              </w:rPr>
            </w:pPr>
            <w:r w:rsidRPr="00725078">
              <w:rPr>
                <w:rFonts w:cs="Arial"/>
                <w:i/>
                <w:sz w:val="20"/>
                <w:szCs w:val="20"/>
              </w:rPr>
              <w:t>Outcomes:</w:t>
            </w:r>
            <w:r w:rsidRPr="00725078">
              <w:rPr>
                <w:rFonts w:cs="Arial"/>
                <w:sz w:val="20"/>
                <w:szCs w:val="20"/>
              </w:rPr>
              <w:t xml:space="preserve"> EAL11-1A, EAL11-1B, EAL11-2, EAL11-3, EAL11-4, EAL11-5, EAL11-6, EAL11-7, EAL11-8, </w:t>
            </w:r>
          </w:p>
          <w:p w:rsidR="005A5797" w:rsidRPr="00725078" w:rsidRDefault="005B37ED" w:rsidP="00FF4292">
            <w:pPr>
              <w:rPr>
                <w:rFonts w:cs="Arial"/>
                <w:sz w:val="20"/>
                <w:szCs w:val="20"/>
              </w:rPr>
            </w:pPr>
            <w:r w:rsidRPr="00725078">
              <w:rPr>
                <w:rFonts w:cs="Arial"/>
                <w:sz w:val="20"/>
                <w:szCs w:val="20"/>
              </w:rPr>
              <w:t>EAL11-9</w:t>
            </w:r>
          </w:p>
        </w:tc>
        <w:tc>
          <w:tcPr>
            <w:tcW w:w="292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725078" w:rsidRDefault="0033173B" w:rsidP="00E73726">
            <w:pPr>
              <w:rPr>
                <w:rFonts w:cs="Arial"/>
                <w:sz w:val="20"/>
                <w:szCs w:val="20"/>
              </w:rPr>
            </w:pPr>
            <w:r w:rsidRPr="00725078">
              <w:rPr>
                <w:rFonts w:cs="Arial"/>
                <w:i/>
                <w:sz w:val="20"/>
                <w:szCs w:val="20"/>
              </w:rPr>
              <w:t>Outcomes</w:t>
            </w:r>
            <w:r w:rsidRPr="00725078">
              <w:rPr>
                <w:rFonts w:cs="Arial"/>
                <w:sz w:val="20"/>
                <w:szCs w:val="20"/>
              </w:rPr>
              <w:t xml:space="preserve">: </w:t>
            </w:r>
            <w:r w:rsidR="00E73726" w:rsidRPr="00725078">
              <w:rPr>
                <w:rFonts w:cs="Arial"/>
                <w:sz w:val="20"/>
                <w:szCs w:val="20"/>
              </w:rPr>
              <w:t>see below</w:t>
            </w:r>
          </w:p>
        </w:tc>
      </w:tr>
      <w:tr w:rsidR="00252948" w:rsidRPr="00725078" w:rsidTr="00252948">
        <w:trPr>
          <w:gridAfter w:val="1"/>
          <w:wAfter w:w="16" w:type="dxa"/>
          <w:cantSplit/>
          <w:tblHeader/>
        </w:trPr>
        <w:tc>
          <w:tcPr>
            <w:tcW w:w="561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948" w:rsidRPr="00725078" w:rsidRDefault="00252948" w:rsidP="00FF429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1913" w:type="dxa"/>
            <w:gridSpan w:val="2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948" w:rsidRPr="00725078" w:rsidRDefault="00252948" w:rsidP="0033173B">
            <w:pPr>
              <w:rPr>
                <w:sz w:val="20"/>
                <w:szCs w:val="20"/>
              </w:rPr>
            </w:pPr>
            <w:r w:rsidRPr="00725078">
              <w:rPr>
                <w:i/>
                <w:sz w:val="20"/>
                <w:szCs w:val="20"/>
              </w:rPr>
              <w:t>Texts: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25078">
              <w:rPr>
                <w:sz w:val="20"/>
                <w:szCs w:val="20"/>
              </w:rPr>
              <w:t>a range of types of texts drawn from prose fiction, poetry, nonfiction, film, media and digital texts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22" w:type="dxa"/>
            <w:gridSpan w:val="5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948" w:rsidRPr="00725078" w:rsidRDefault="00252948" w:rsidP="0033173B">
            <w:pPr>
              <w:rPr>
                <w:rFonts w:cs="Arial"/>
                <w:sz w:val="20"/>
                <w:szCs w:val="20"/>
              </w:rPr>
            </w:pPr>
            <w:r w:rsidRPr="00725078">
              <w:rPr>
                <w:rFonts w:cs="Arial"/>
                <w:i/>
                <w:sz w:val="20"/>
                <w:szCs w:val="20"/>
              </w:rPr>
              <w:t>Focus Text: The Sapphires</w:t>
            </w:r>
          </w:p>
        </w:tc>
      </w:tr>
      <w:tr w:rsidR="00252948" w:rsidRPr="00725078" w:rsidTr="00252948">
        <w:trPr>
          <w:gridAfter w:val="1"/>
          <w:wAfter w:w="16" w:type="dxa"/>
          <w:cantSplit/>
          <w:tblHeader/>
        </w:trPr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948" w:rsidRPr="00725078" w:rsidRDefault="00252948" w:rsidP="00FF429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4835" w:type="dxa"/>
            <w:gridSpan w:val="27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948" w:rsidRDefault="00252948" w:rsidP="0033173B">
            <w:pPr>
              <w:rPr>
                <w:rFonts w:cs="Arial"/>
                <w:i/>
                <w:sz w:val="20"/>
                <w:szCs w:val="20"/>
              </w:rPr>
            </w:pPr>
          </w:p>
          <w:p w:rsidR="00252948" w:rsidRPr="00725078" w:rsidRDefault="00252948" w:rsidP="0033173B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E73726" w:rsidRPr="00725078" w:rsidTr="00252948">
        <w:trPr>
          <w:tblHeader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71E34" w:rsidRPr="00725078" w:rsidRDefault="00C71E34" w:rsidP="00C71E34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Term 2</w:t>
            </w:r>
          </w:p>
        </w:tc>
        <w:tc>
          <w:tcPr>
            <w:tcW w:w="156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E34" w:rsidRPr="00725078" w:rsidRDefault="00C71E34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141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E34" w:rsidRPr="00725078" w:rsidRDefault="00C71E34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141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E34" w:rsidRPr="00725078" w:rsidRDefault="00C71E34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3</w:t>
            </w:r>
          </w:p>
        </w:tc>
        <w:tc>
          <w:tcPr>
            <w:tcW w:w="156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E34" w:rsidRPr="00725078" w:rsidRDefault="00C71E34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E34" w:rsidRPr="00725078" w:rsidRDefault="00C71E34" w:rsidP="00A6042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25078">
              <w:rPr>
                <w:b/>
                <w:sz w:val="20"/>
                <w:szCs w:val="20"/>
              </w:rPr>
              <w:t>Week 5</w:t>
            </w:r>
          </w:p>
        </w:tc>
        <w:tc>
          <w:tcPr>
            <w:tcW w:w="157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E34" w:rsidRPr="00725078" w:rsidRDefault="00C71E34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6</w:t>
            </w:r>
          </w:p>
        </w:tc>
        <w:tc>
          <w:tcPr>
            <w:tcW w:w="1407" w:type="dxa"/>
            <w:gridSpan w:val="2"/>
          </w:tcPr>
          <w:p w:rsidR="00C71E34" w:rsidRPr="00725078" w:rsidRDefault="00C71E34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7</w:t>
            </w:r>
          </w:p>
        </w:tc>
        <w:tc>
          <w:tcPr>
            <w:tcW w:w="155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E34" w:rsidRPr="00725078" w:rsidRDefault="00C71E34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8</w:t>
            </w:r>
          </w:p>
        </w:tc>
        <w:tc>
          <w:tcPr>
            <w:tcW w:w="1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E34" w:rsidRPr="00725078" w:rsidRDefault="00C71E34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9</w:t>
            </w:r>
          </w:p>
        </w:tc>
        <w:tc>
          <w:tcPr>
            <w:tcW w:w="15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1E34" w:rsidRPr="00725078" w:rsidRDefault="00C71E34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10</w:t>
            </w:r>
          </w:p>
        </w:tc>
      </w:tr>
      <w:tr w:rsidR="0033173B" w:rsidRPr="00725078" w:rsidTr="00725078">
        <w:trPr>
          <w:cantSplit/>
          <w:tblHeader/>
        </w:trPr>
        <w:tc>
          <w:tcPr>
            <w:tcW w:w="561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73B" w:rsidRPr="00725078" w:rsidRDefault="0033173B" w:rsidP="00FF429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8947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73B" w:rsidRPr="00725078" w:rsidRDefault="0033173B" w:rsidP="00C41952">
            <w:pPr>
              <w:rPr>
                <w:rFonts w:cs="Arial"/>
                <w:b/>
                <w:i/>
                <w:sz w:val="20"/>
                <w:szCs w:val="20"/>
              </w:rPr>
            </w:pPr>
            <w:r w:rsidRPr="00725078">
              <w:rPr>
                <w:rFonts w:cs="Arial"/>
                <w:b/>
                <w:i/>
                <w:sz w:val="20"/>
                <w:szCs w:val="20"/>
              </w:rPr>
              <w:t>Module B: Close Study of Text (30 hours)</w:t>
            </w:r>
          </w:p>
          <w:p w:rsidR="0033173B" w:rsidRPr="00725078" w:rsidRDefault="0033173B" w:rsidP="00252948">
            <w:pPr>
              <w:rPr>
                <w:sz w:val="20"/>
                <w:szCs w:val="20"/>
              </w:rPr>
            </w:pPr>
            <w:r w:rsidRPr="00725078">
              <w:rPr>
                <w:rFonts w:cs="Arial"/>
                <w:sz w:val="20"/>
                <w:szCs w:val="20"/>
              </w:rPr>
              <w:t xml:space="preserve">In this module, students develop understanding, knowledge and appreciation of a substantial literary text – </w:t>
            </w:r>
            <w:r w:rsidRPr="00725078">
              <w:rPr>
                <w:rFonts w:cs="Arial"/>
                <w:i/>
                <w:sz w:val="20"/>
                <w:szCs w:val="20"/>
              </w:rPr>
              <w:t>The Sapphires</w:t>
            </w:r>
            <w:r w:rsidRPr="00725078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5904" w:type="dxa"/>
            <w:gridSpan w:val="11"/>
          </w:tcPr>
          <w:p w:rsidR="0033173B" w:rsidRPr="00725078" w:rsidRDefault="0033173B" w:rsidP="00FF4292">
            <w:pPr>
              <w:rPr>
                <w:rFonts w:cs="Arial"/>
                <w:b/>
                <w:i/>
                <w:sz w:val="20"/>
                <w:szCs w:val="20"/>
              </w:rPr>
            </w:pPr>
            <w:r w:rsidRPr="00725078">
              <w:rPr>
                <w:rFonts w:cs="Arial"/>
                <w:b/>
                <w:i/>
                <w:sz w:val="20"/>
                <w:szCs w:val="20"/>
              </w:rPr>
              <w:t>Module C: Texts and Society (30 hours)</w:t>
            </w:r>
          </w:p>
          <w:p w:rsidR="0033173B" w:rsidRPr="00725078" w:rsidRDefault="00725078" w:rsidP="002529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investigate how </w:t>
            </w:r>
            <w:r w:rsidRPr="00725078">
              <w:rPr>
                <w:rFonts w:cs="Arial"/>
                <w:sz w:val="20"/>
                <w:szCs w:val="20"/>
              </w:rPr>
              <w:t xml:space="preserve">texts that are commonly encountered in community </w:t>
            </w:r>
            <w:r w:rsidR="0033173B" w:rsidRPr="00725078">
              <w:rPr>
                <w:rFonts w:cs="Arial"/>
                <w:sz w:val="20"/>
                <w:szCs w:val="20"/>
              </w:rPr>
              <w:t>communicate information, ideas, bodies of knowledg</w:t>
            </w:r>
            <w:r w:rsidR="00252948">
              <w:rPr>
                <w:rFonts w:cs="Arial"/>
                <w:sz w:val="20"/>
                <w:szCs w:val="20"/>
              </w:rPr>
              <w:t>e, attitudes and belief systems.</w:t>
            </w:r>
          </w:p>
        </w:tc>
      </w:tr>
      <w:tr w:rsidR="005A5797" w:rsidRPr="00725078" w:rsidTr="00725078">
        <w:trPr>
          <w:cantSplit/>
          <w:tblHeader/>
        </w:trPr>
        <w:tc>
          <w:tcPr>
            <w:tcW w:w="561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725078" w:rsidRDefault="005A5797" w:rsidP="00FF42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47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725078" w:rsidRDefault="0033173B" w:rsidP="00FF4292">
            <w:pPr>
              <w:rPr>
                <w:rFonts w:cs="Arial"/>
                <w:sz w:val="20"/>
                <w:szCs w:val="20"/>
              </w:rPr>
            </w:pPr>
            <w:r w:rsidRPr="00725078">
              <w:rPr>
                <w:rFonts w:cs="Arial"/>
                <w:i/>
                <w:sz w:val="20"/>
                <w:szCs w:val="20"/>
              </w:rPr>
              <w:t>Outcomes:</w:t>
            </w:r>
            <w:r w:rsidRPr="00725078">
              <w:rPr>
                <w:rFonts w:cs="Arial"/>
                <w:sz w:val="20"/>
                <w:szCs w:val="20"/>
              </w:rPr>
              <w:t xml:space="preserve"> </w:t>
            </w:r>
            <w:r w:rsidR="00447201" w:rsidRPr="00725078">
              <w:rPr>
                <w:rFonts w:cs="Arial"/>
                <w:sz w:val="20"/>
                <w:szCs w:val="20"/>
              </w:rPr>
              <w:t>EAL11-1A, EAL11-1B, EAL11-2, EAL11-3, EAL11-4, EAL11-5, EAL11-7, EAL11-8, EAL11-9</w:t>
            </w:r>
          </w:p>
        </w:tc>
        <w:tc>
          <w:tcPr>
            <w:tcW w:w="5904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797" w:rsidRPr="00725078" w:rsidRDefault="0033173B" w:rsidP="003D2CDB">
            <w:pPr>
              <w:rPr>
                <w:rFonts w:cs="Arial"/>
                <w:sz w:val="20"/>
                <w:szCs w:val="20"/>
              </w:rPr>
            </w:pPr>
            <w:r w:rsidRPr="00725078">
              <w:rPr>
                <w:rFonts w:cs="Arial"/>
                <w:i/>
                <w:sz w:val="20"/>
                <w:szCs w:val="20"/>
              </w:rPr>
              <w:t>Outcomes:</w:t>
            </w:r>
            <w:r w:rsidRPr="00725078">
              <w:rPr>
                <w:rFonts w:cs="Arial"/>
                <w:sz w:val="20"/>
                <w:szCs w:val="20"/>
              </w:rPr>
              <w:t xml:space="preserve"> </w:t>
            </w:r>
            <w:r w:rsidR="00F30AD9" w:rsidRPr="00725078">
              <w:rPr>
                <w:rFonts w:cs="Arial"/>
                <w:sz w:val="20"/>
                <w:szCs w:val="20"/>
              </w:rPr>
              <w:t>EAL11-1A, EAL11-1B, EAL11-2, EAL11-3, EAL11-4, EAL11-6, EAL11-7, EAL11-9</w:t>
            </w:r>
          </w:p>
        </w:tc>
      </w:tr>
      <w:tr w:rsidR="00252948" w:rsidRPr="00725078" w:rsidTr="000C19A1">
        <w:trPr>
          <w:cantSplit/>
          <w:trHeight w:val="516"/>
          <w:tblHeader/>
        </w:trPr>
        <w:tc>
          <w:tcPr>
            <w:tcW w:w="561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948" w:rsidRPr="00725078" w:rsidRDefault="00252948" w:rsidP="00FF429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8947" w:type="dxa"/>
            <w:gridSpan w:val="17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948" w:rsidRPr="00725078" w:rsidRDefault="00252948" w:rsidP="00E73726">
            <w:pPr>
              <w:spacing w:after="200"/>
              <w:contextualSpacing/>
              <w:rPr>
                <w:sz w:val="20"/>
                <w:szCs w:val="20"/>
              </w:rPr>
            </w:pPr>
            <w:r w:rsidRPr="00725078">
              <w:rPr>
                <w:i/>
                <w:sz w:val="20"/>
                <w:szCs w:val="20"/>
              </w:rPr>
              <w:t>Focus Text:</w:t>
            </w:r>
            <w:r w:rsidRPr="00725078">
              <w:rPr>
                <w:sz w:val="20"/>
                <w:szCs w:val="20"/>
              </w:rPr>
              <w:t xml:space="preserve"> </w:t>
            </w:r>
            <w:r w:rsidRPr="00725078">
              <w:rPr>
                <w:i/>
                <w:sz w:val="20"/>
                <w:szCs w:val="20"/>
              </w:rPr>
              <w:t xml:space="preserve">The Sapphires </w:t>
            </w:r>
            <w:r w:rsidRPr="00725078">
              <w:rPr>
                <w:sz w:val="20"/>
                <w:szCs w:val="20"/>
              </w:rPr>
              <w:t>directed by Wayne Blair</w:t>
            </w:r>
          </w:p>
        </w:tc>
        <w:tc>
          <w:tcPr>
            <w:tcW w:w="5904" w:type="dxa"/>
            <w:gridSpan w:val="11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948" w:rsidRPr="00725078" w:rsidRDefault="00252948" w:rsidP="0033173B">
            <w:pPr>
              <w:rPr>
                <w:rFonts w:cs="Arial"/>
                <w:sz w:val="20"/>
                <w:szCs w:val="20"/>
              </w:rPr>
            </w:pPr>
            <w:r w:rsidRPr="00725078">
              <w:rPr>
                <w:rFonts w:cs="Arial"/>
                <w:i/>
                <w:sz w:val="20"/>
                <w:szCs w:val="20"/>
              </w:rPr>
              <w:t xml:space="preserve">Texts: </w:t>
            </w:r>
            <w:r w:rsidRPr="00725078">
              <w:rPr>
                <w:rFonts w:cs="Arial"/>
                <w:sz w:val="20"/>
                <w:szCs w:val="20"/>
              </w:rPr>
              <w:t>a range of types of texts drawn from prose fiction, poetry, nonfiction, film, media and digital texts</w:t>
            </w:r>
          </w:p>
        </w:tc>
      </w:tr>
      <w:tr w:rsidR="00252948" w:rsidRPr="00725078" w:rsidTr="00252948">
        <w:trPr>
          <w:cantSplit/>
          <w:trHeight w:val="589"/>
          <w:tblHeader/>
        </w:trPr>
        <w:tc>
          <w:tcPr>
            <w:tcW w:w="15412" w:type="dxa"/>
            <w:gridSpan w:val="30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948" w:rsidRPr="00725078" w:rsidRDefault="00252948" w:rsidP="0033173B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A95B36" w:rsidRPr="00725078" w:rsidTr="00725078">
        <w:trPr>
          <w:gridAfter w:val="1"/>
          <w:wAfter w:w="16" w:type="dxa"/>
          <w:tblHeader/>
        </w:trPr>
        <w:tc>
          <w:tcPr>
            <w:tcW w:w="52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A95B36" w:rsidRPr="00725078" w:rsidRDefault="00A95B36" w:rsidP="00C71E34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Term 3</w:t>
            </w:r>
          </w:p>
        </w:tc>
        <w:tc>
          <w:tcPr>
            <w:tcW w:w="143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B36" w:rsidRPr="00725078" w:rsidRDefault="00A95B36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143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B36" w:rsidRPr="00725078" w:rsidRDefault="00A95B36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143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B36" w:rsidRPr="00725078" w:rsidRDefault="00A95B36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3</w:t>
            </w:r>
          </w:p>
        </w:tc>
        <w:tc>
          <w:tcPr>
            <w:tcW w:w="169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B36" w:rsidRPr="00725078" w:rsidRDefault="00A95B36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1696" w:type="dxa"/>
            <w:gridSpan w:val="3"/>
          </w:tcPr>
          <w:p w:rsidR="00A95B36" w:rsidRPr="00725078" w:rsidRDefault="00A95B36" w:rsidP="00A6042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25078">
              <w:rPr>
                <w:b/>
                <w:sz w:val="20"/>
                <w:szCs w:val="20"/>
              </w:rPr>
              <w:t>Week 5</w:t>
            </w:r>
          </w:p>
        </w:tc>
        <w:tc>
          <w:tcPr>
            <w:tcW w:w="143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B36" w:rsidRPr="00725078" w:rsidRDefault="00A95B36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6</w:t>
            </w:r>
          </w:p>
        </w:tc>
        <w:tc>
          <w:tcPr>
            <w:tcW w:w="143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B36" w:rsidRPr="00725078" w:rsidRDefault="00A95B36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7</w:t>
            </w:r>
          </w:p>
        </w:tc>
        <w:tc>
          <w:tcPr>
            <w:tcW w:w="143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B36" w:rsidRPr="00725078" w:rsidRDefault="00A95B36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8</w:t>
            </w:r>
          </w:p>
        </w:tc>
        <w:tc>
          <w:tcPr>
            <w:tcW w:w="143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B36" w:rsidRPr="00725078" w:rsidRDefault="00A95B36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9</w:t>
            </w:r>
          </w:p>
        </w:tc>
        <w:tc>
          <w:tcPr>
            <w:tcW w:w="1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B36" w:rsidRPr="00725078" w:rsidRDefault="00A95B36" w:rsidP="00A6042F">
            <w:pPr>
              <w:jc w:val="center"/>
              <w:rPr>
                <w:b/>
                <w:sz w:val="20"/>
                <w:szCs w:val="20"/>
              </w:rPr>
            </w:pPr>
            <w:r w:rsidRPr="00725078">
              <w:rPr>
                <w:b/>
                <w:sz w:val="20"/>
                <w:szCs w:val="20"/>
              </w:rPr>
              <w:t>Week 10</w:t>
            </w:r>
          </w:p>
        </w:tc>
      </w:tr>
      <w:tr w:rsidR="00A95B36" w:rsidRPr="00725078" w:rsidTr="00725078">
        <w:trPr>
          <w:gridAfter w:val="1"/>
          <w:wAfter w:w="16" w:type="dxa"/>
          <w:cantSplit/>
          <w:tblHeader/>
        </w:trPr>
        <w:tc>
          <w:tcPr>
            <w:tcW w:w="5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B36" w:rsidRPr="00725078" w:rsidRDefault="00A95B36" w:rsidP="00FF429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85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B36" w:rsidRPr="00725078" w:rsidRDefault="00A95B36" w:rsidP="003D2CDB">
            <w:pPr>
              <w:rPr>
                <w:rFonts w:cs="Arial"/>
                <w:b/>
                <w:i/>
                <w:sz w:val="20"/>
                <w:szCs w:val="20"/>
              </w:rPr>
            </w:pPr>
            <w:r w:rsidRPr="00725078">
              <w:rPr>
                <w:rFonts w:cs="Arial"/>
                <w:b/>
                <w:i/>
                <w:sz w:val="20"/>
                <w:szCs w:val="20"/>
              </w:rPr>
              <w:t xml:space="preserve">Module C: Texts and Society </w:t>
            </w:r>
          </w:p>
          <w:p w:rsidR="00A95B36" w:rsidRPr="00725078" w:rsidRDefault="00A95B36" w:rsidP="003D2CDB">
            <w:pPr>
              <w:rPr>
                <w:rFonts w:cs="Arial"/>
                <w:sz w:val="20"/>
                <w:szCs w:val="20"/>
              </w:rPr>
            </w:pPr>
            <w:r w:rsidRPr="00725078">
              <w:rPr>
                <w:rFonts w:cs="Arial"/>
                <w:b/>
                <w:sz w:val="20"/>
                <w:szCs w:val="20"/>
              </w:rPr>
              <w:t>(continued)</w:t>
            </w:r>
          </w:p>
        </w:tc>
        <w:tc>
          <w:tcPr>
            <w:tcW w:w="11289" w:type="dxa"/>
            <w:gridSpan w:val="20"/>
          </w:tcPr>
          <w:p w:rsidR="00A95B36" w:rsidRPr="00725078" w:rsidRDefault="00A95B36" w:rsidP="00FF4292">
            <w:pPr>
              <w:rPr>
                <w:rFonts w:cs="Arial"/>
                <w:b/>
                <w:i/>
                <w:sz w:val="20"/>
                <w:szCs w:val="20"/>
              </w:rPr>
            </w:pPr>
            <w:r w:rsidRPr="00725078">
              <w:rPr>
                <w:rFonts w:cs="Arial"/>
                <w:b/>
                <w:i/>
                <w:sz w:val="20"/>
                <w:szCs w:val="20"/>
              </w:rPr>
              <w:t xml:space="preserve">Module D: </w:t>
            </w:r>
            <w:r w:rsidR="00252948">
              <w:rPr>
                <w:rFonts w:cs="Arial"/>
                <w:b/>
                <w:i/>
                <w:sz w:val="20"/>
                <w:szCs w:val="20"/>
              </w:rPr>
              <w:t xml:space="preserve">‘Now hear this!’ </w:t>
            </w:r>
            <w:r w:rsidRPr="00725078">
              <w:rPr>
                <w:rFonts w:cs="Arial"/>
                <w:b/>
                <w:i/>
                <w:sz w:val="20"/>
                <w:szCs w:val="20"/>
              </w:rPr>
              <w:t>Optional Teacher-Developed unit (30 hours)</w:t>
            </w:r>
          </w:p>
          <w:p w:rsidR="00252948" w:rsidRDefault="00252948" w:rsidP="00AB06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this module students will explore a variety of written and spoken texts that have been used to inspire change.</w:t>
            </w:r>
          </w:p>
          <w:p w:rsidR="00A95B36" w:rsidRPr="00725078" w:rsidRDefault="00A95B36" w:rsidP="00AB06FC">
            <w:pPr>
              <w:rPr>
                <w:rFonts w:cs="Arial"/>
                <w:sz w:val="20"/>
                <w:szCs w:val="20"/>
              </w:rPr>
            </w:pPr>
            <w:r w:rsidRPr="00725078">
              <w:rPr>
                <w:rFonts w:cs="Arial"/>
                <w:sz w:val="20"/>
                <w:szCs w:val="20"/>
              </w:rPr>
              <w:t>Students plan, draft and refine their own written and spoken texts, applying the conventions of syntax, spelling and grammar appropriately for their audience, context and purpose.</w:t>
            </w:r>
          </w:p>
        </w:tc>
      </w:tr>
      <w:tr w:rsidR="00A95B36" w:rsidRPr="00725078" w:rsidTr="00725078">
        <w:trPr>
          <w:gridAfter w:val="1"/>
          <w:wAfter w:w="16" w:type="dxa"/>
          <w:cantSplit/>
          <w:tblHeader/>
        </w:trPr>
        <w:tc>
          <w:tcPr>
            <w:tcW w:w="5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B36" w:rsidRPr="00725078" w:rsidRDefault="00A95B36" w:rsidP="00FF42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5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B36" w:rsidRPr="00725078" w:rsidRDefault="00A95B36" w:rsidP="00FF42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289" w:type="dxa"/>
            <w:gridSpan w:val="2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B36" w:rsidRPr="00725078" w:rsidRDefault="00A95B36" w:rsidP="00F55F31">
            <w:pPr>
              <w:rPr>
                <w:rFonts w:cs="Arial"/>
                <w:sz w:val="20"/>
                <w:szCs w:val="20"/>
              </w:rPr>
            </w:pPr>
            <w:r w:rsidRPr="00725078">
              <w:rPr>
                <w:rFonts w:cs="Arial"/>
                <w:i/>
                <w:sz w:val="20"/>
                <w:szCs w:val="20"/>
              </w:rPr>
              <w:t>Outcomes:</w:t>
            </w:r>
            <w:r w:rsidRPr="00725078">
              <w:rPr>
                <w:rFonts w:cs="Arial"/>
                <w:sz w:val="20"/>
                <w:szCs w:val="20"/>
              </w:rPr>
              <w:t xml:space="preserve"> to be decided by the teacher in relation to the unit developed.</w:t>
            </w:r>
          </w:p>
        </w:tc>
      </w:tr>
      <w:tr w:rsidR="00A95B36" w:rsidRPr="00725078" w:rsidTr="00725078">
        <w:trPr>
          <w:gridAfter w:val="1"/>
          <w:wAfter w:w="16" w:type="dxa"/>
          <w:cantSplit/>
          <w:tblHeader/>
        </w:trPr>
        <w:tc>
          <w:tcPr>
            <w:tcW w:w="5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B36" w:rsidRPr="00725078" w:rsidRDefault="00A95B36" w:rsidP="00FF429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85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B36" w:rsidRPr="00725078" w:rsidRDefault="000C19A1" w:rsidP="00FF4292">
            <w:pPr>
              <w:rPr>
                <w:rFonts w:cs="Arial"/>
                <w:sz w:val="20"/>
                <w:szCs w:val="20"/>
              </w:rPr>
            </w:pPr>
            <w:r w:rsidRPr="000C19A1">
              <w:rPr>
                <w:rFonts w:cs="Arial"/>
                <w:i/>
                <w:sz w:val="20"/>
                <w:szCs w:val="20"/>
              </w:rPr>
              <w:t>Texts: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C19A1">
              <w:rPr>
                <w:rFonts w:cs="Arial"/>
                <w:sz w:val="20"/>
                <w:szCs w:val="20"/>
              </w:rPr>
              <w:t>a range of types of texts</w:t>
            </w:r>
          </w:p>
        </w:tc>
        <w:tc>
          <w:tcPr>
            <w:tcW w:w="11289" w:type="dxa"/>
            <w:gridSpan w:val="2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5B36" w:rsidRPr="00725078" w:rsidRDefault="00A95B36" w:rsidP="000C19A1">
            <w:pPr>
              <w:rPr>
                <w:rFonts w:cs="Arial"/>
                <w:sz w:val="20"/>
                <w:szCs w:val="20"/>
              </w:rPr>
            </w:pPr>
            <w:r w:rsidRPr="00725078">
              <w:rPr>
                <w:rFonts w:cs="Arial"/>
                <w:i/>
                <w:sz w:val="20"/>
                <w:szCs w:val="20"/>
              </w:rPr>
              <w:t>Texts:</w:t>
            </w:r>
            <w:r w:rsidRPr="00725078">
              <w:rPr>
                <w:rFonts w:cs="Arial"/>
                <w:sz w:val="20"/>
                <w:szCs w:val="20"/>
              </w:rPr>
              <w:t xml:space="preserve"> </w:t>
            </w:r>
            <w:r w:rsidR="000C19A1">
              <w:rPr>
                <w:rFonts w:cs="Arial"/>
                <w:sz w:val="20"/>
                <w:szCs w:val="20"/>
              </w:rPr>
              <w:t xml:space="preserve">a range of written and spoken texts including texts </w:t>
            </w:r>
          </w:p>
        </w:tc>
      </w:tr>
    </w:tbl>
    <w:p w:rsidR="00C41952" w:rsidRDefault="002613F9" w:rsidP="00FA1A16">
      <w:pPr>
        <w:pStyle w:val="Heading1"/>
        <w:jc w:val="left"/>
      </w:pPr>
      <w:r>
        <w:t xml:space="preserve"> </w:t>
      </w:r>
    </w:p>
    <w:sectPr w:rsidR="00C41952" w:rsidSect="00FA1A16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79" w:rsidRDefault="00A66E79" w:rsidP="00980ADE">
      <w:pPr>
        <w:spacing w:after="0" w:line="240" w:lineRule="auto"/>
      </w:pPr>
      <w:r>
        <w:separator/>
      </w:r>
    </w:p>
  </w:endnote>
  <w:endnote w:type="continuationSeparator" w:id="0">
    <w:p w:rsidR="00A66E79" w:rsidRDefault="00A66E79" w:rsidP="009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79" w:rsidRDefault="00A66E79" w:rsidP="00980ADE">
      <w:pPr>
        <w:spacing w:after="0" w:line="240" w:lineRule="auto"/>
      </w:pPr>
      <w:r>
        <w:separator/>
      </w:r>
    </w:p>
  </w:footnote>
  <w:footnote w:type="continuationSeparator" w:id="0">
    <w:p w:rsidR="00A66E79" w:rsidRDefault="00A66E79" w:rsidP="0098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961"/>
    <w:multiLevelType w:val="hybridMultilevel"/>
    <w:tmpl w:val="0CE04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6F4C"/>
    <w:multiLevelType w:val="hybridMultilevel"/>
    <w:tmpl w:val="1D103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87CB4"/>
    <w:multiLevelType w:val="hybridMultilevel"/>
    <w:tmpl w:val="26E6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C11DE"/>
    <w:multiLevelType w:val="hybridMultilevel"/>
    <w:tmpl w:val="420C3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36073"/>
    <w:rsid w:val="0004759F"/>
    <w:rsid w:val="00047E17"/>
    <w:rsid w:val="00065767"/>
    <w:rsid w:val="000A04C7"/>
    <w:rsid w:val="000C19A1"/>
    <w:rsid w:val="000D6130"/>
    <w:rsid w:val="000D75EE"/>
    <w:rsid w:val="000E5035"/>
    <w:rsid w:val="00135EF9"/>
    <w:rsid w:val="00163CF1"/>
    <w:rsid w:val="001F41E9"/>
    <w:rsid w:val="00213801"/>
    <w:rsid w:val="00226B74"/>
    <w:rsid w:val="00252948"/>
    <w:rsid w:val="002613F9"/>
    <w:rsid w:val="002F7A69"/>
    <w:rsid w:val="003236DD"/>
    <w:rsid w:val="00325188"/>
    <w:rsid w:val="0033173B"/>
    <w:rsid w:val="0034490C"/>
    <w:rsid w:val="00366C19"/>
    <w:rsid w:val="003C1E54"/>
    <w:rsid w:val="003D2CDB"/>
    <w:rsid w:val="003D5B1D"/>
    <w:rsid w:val="003E23D6"/>
    <w:rsid w:val="00407CE1"/>
    <w:rsid w:val="00447201"/>
    <w:rsid w:val="004B197C"/>
    <w:rsid w:val="004C6787"/>
    <w:rsid w:val="004D0185"/>
    <w:rsid w:val="004F1BC7"/>
    <w:rsid w:val="004F37B6"/>
    <w:rsid w:val="005350C4"/>
    <w:rsid w:val="00582300"/>
    <w:rsid w:val="005A5797"/>
    <w:rsid w:val="005A77E9"/>
    <w:rsid w:val="005B37ED"/>
    <w:rsid w:val="005C265E"/>
    <w:rsid w:val="006305D3"/>
    <w:rsid w:val="00665513"/>
    <w:rsid w:val="006955B7"/>
    <w:rsid w:val="006D4F6F"/>
    <w:rsid w:val="006D6385"/>
    <w:rsid w:val="006E3522"/>
    <w:rsid w:val="00725078"/>
    <w:rsid w:val="0073068D"/>
    <w:rsid w:val="00763722"/>
    <w:rsid w:val="007A664B"/>
    <w:rsid w:val="007B0649"/>
    <w:rsid w:val="007D0B60"/>
    <w:rsid w:val="007F4B51"/>
    <w:rsid w:val="008E6BA6"/>
    <w:rsid w:val="008F7575"/>
    <w:rsid w:val="009328EC"/>
    <w:rsid w:val="0097098D"/>
    <w:rsid w:val="00980ADE"/>
    <w:rsid w:val="009A3F0D"/>
    <w:rsid w:val="00A165DB"/>
    <w:rsid w:val="00A22E10"/>
    <w:rsid w:val="00A2573A"/>
    <w:rsid w:val="00A54A2E"/>
    <w:rsid w:val="00A6042F"/>
    <w:rsid w:val="00A66E79"/>
    <w:rsid w:val="00A75EBA"/>
    <w:rsid w:val="00A77AA7"/>
    <w:rsid w:val="00A80470"/>
    <w:rsid w:val="00A87F61"/>
    <w:rsid w:val="00A95B36"/>
    <w:rsid w:val="00A9783D"/>
    <w:rsid w:val="00AB06FC"/>
    <w:rsid w:val="00AC4732"/>
    <w:rsid w:val="00AE4CBB"/>
    <w:rsid w:val="00B060A2"/>
    <w:rsid w:val="00B965E9"/>
    <w:rsid w:val="00BC3311"/>
    <w:rsid w:val="00C007E3"/>
    <w:rsid w:val="00C41952"/>
    <w:rsid w:val="00C71E34"/>
    <w:rsid w:val="00CA7EAB"/>
    <w:rsid w:val="00CD760D"/>
    <w:rsid w:val="00D3720D"/>
    <w:rsid w:val="00DD7655"/>
    <w:rsid w:val="00DE38EB"/>
    <w:rsid w:val="00E3660C"/>
    <w:rsid w:val="00E73726"/>
    <w:rsid w:val="00F02BC4"/>
    <w:rsid w:val="00F1780C"/>
    <w:rsid w:val="00F30AD9"/>
    <w:rsid w:val="00F55F31"/>
    <w:rsid w:val="00F642DE"/>
    <w:rsid w:val="00F66848"/>
    <w:rsid w:val="00F81BBC"/>
    <w:rsid w:val="00F831C1"/>
    <w:rsid w:val="00FA1A16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3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035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E17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503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E17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5B37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D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8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D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3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035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E17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503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E17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5B37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D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8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D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Year 11 English EALD (A)</dc:title>
  <dc:creator>NESA</dc:creator>
  <cp:lastModifiedBy>Lauren Wood</cp:lastModifiedBy>
  <cp:revision>20</cp:revision>
  <cp:lastPrinted>2017-03-14T21:53:00Z</cp:lastPrinted>
  <dcterms:created xsi:type="dcterms:W3CDTF">2017-02-01T03:58:00Z</dcterms:created>
  <dcterms:modified xsi:type="dcterms:W3CDTF">2017-03-24T01:29:00Z</dcterms:modified>
</cp:coreProperties>
</file>