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F3" w:rsidRDefault="00790AAB" w:rsidP="005A2377">
      <w:pPr>
        <w:pStyle w:val="Heading1"/>
      </w:pPr>
      <w:r>
        <w:t>S</w:t>
      </w:r>
      <w:r w:rsidR="00DC4C42">
        <w:t>ample U</w:t>
      </w:r>
      <w:r>
        <w:t xml:space="preserve">nit – </w:t>
      </w:r>
      <w:r w:rsidR="000F4A6D">
        <w:t>Modern</w:t>
      </w:r>
      <w:r>
        <w:t xml:space="preserve"> History – Year 11</w:t>
      </w:r>
    </w:p>
    <w:p w:rsidR="0088436D" w:rsidRPr="00790AAB" w:rsidRDefault="00790AAB" w:rsidP="005A2377">
      <w:pPr>
        <w:pStyle w:val="Heading1"/>
        <w:rPr>
          <w:i/>
          <w:sz w:val="20"/>
          <w:szCs w:val="20"/>
        </w:rPr>
      </w:pPr>
      <w:r w:rsidRPr="00790AAB">
        <w:rPr>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40"/>
        <w:gridCol w:w="5711"/>
        <w:gridCol w:w="1967"/>
        <w:gridCol w:w="5782"/>
      </w:tblGrid>
      <w:tr w:rsidR="006B78EF" w:rsidRPr="005A2377" w:rsidTr="00CE40F3">
        <w:trPr>
          <w:cantSplit/>
          <w:tblHeader/>
        </w:trPr>
        <w:tc>
          <w:tcPr>
            <w:tcW w:w="1940" w:type="dxa"/>
            <w:tcMar>
              <w:top w:w="57" w:type="dxa"/>
              <w:left w:w="57" w:type="dxa"/>
              <w:bottom w:w="57" w:type="dxa"/>
              <w:right w:w="57" w:type="dxa"/>
            </w:tcMar>
          </w:tcPr>
          <w:p w:rsidR="006B78EF" w:rsidRPr="005A2377" w:rsidRDefault="0039721F" w:rsidP="005A2377">
            <w:pPr>
              <w:rPr>
                <w:b/>
                <w:sz w:val="22"/>
              </w:rPr>
            </w:pPr>
            <w:r w:rsidRPr="005A2377">
              <w:rPr>
                <w:b/>
                <w:sz w:val="22"/>
              </w:rPr>
              <w:t>Un</w:t>
            </w:r>
            <w:r w:rsidR="006B78EF" w:rsidRPr="005A2377">
              <w:rPr>
                <w:b/>
                <w:sz w:val="22"/>
              </w:rPr>
              <w:t xml:space="preserve">it </w:t>
            </w:r>
            <w:r w:rsidR="00127B20" w:rsidRPr="005A2377">
              <w:rPr>
                <w:b/>
                <w:sz w:val="22"/>
              </w:rPr>
              <w:t>Title</w:t>
            </w:r>
          </w:p>
        </w:tc>
        <w:tc>
          <w:tcPr>
            <w:tcW w:w="5711" w:type="dxa"/>
            <w:tcMar>
              <w:top w:w="57" w:type="dxa"/>
              <w:left w:w="57" w:type="dxa"/>
              <w:bottom w:w="57" w:type="dxa"/>
              <w:right w:w="57" w:type="dxa"/>
            </w:tcMar>
          </w:tcPr>
          <w:p w:rsidR="006B78EF" w:rsidRDefault="00CE40F3" w:rsidP="005A2377">
            <w:pPr>
              <w:rPr>
                <w:sz w:val="22"/>
              </w:rPr>
            </w:pPr>
            <w:r>
              <w:rPr>
                <w:sz w:val="22"/>
              </w:rPr>
              <w:t>Investigating Modern History – The Nature of Modern History</w:t>
            </w:r>
          </w:p>
          <w:p w:rsidR="00A123F8" w:rsidRPr="000F4A6D" w:rsidRDefault="000F4A6D" w:rsidP="000F4A6D">
            <w:pPr>
              <w:pStyle w:val="ListParagraph"/>
              <w:numPr>
                <w:ilvl w:val="0"/>
                <w:numId w:val="26"/>
              </w:numPr>
              <w:rPr>
                <w:i/>
                <w:sz w:val="22"/>
              </w:rPr>
            </w:pPr>
            <w:r w:rsidRPr="000F4A6D">
              <w:rPr>
                <w:sz w:val="22"/>
              </w:rPr>
              <w:t>The Representation and Commemoration of the Past</w:t>
            </w:r>
          </w:p>
          <w:p w:rsidR="00A123F8" w:rsidRPr="00A123F8" w:rsidRDefault="00E85C36" w:rsidP="00A123F8">
            <w:pPr>
              <w:pStyle w:val="ListParagraph"/>
              <w:numPr>
                <w:ilvl w:val="0"/>
                <w:numId w:val="21"/>
              </w:numPr>
              <w:rPr>
                <w:sz w:val="22"/>
              </w:rPr>
            </w:pPr>
            <w:r>
              <w:rPr>
                <w:sz w:val="22"/>
              </w:rPr>
              <w:t xml:space="preserve">The </w:t>
            </w:r>
            <w:proofErr w:type="spellStart"/>
            <w:r>
              <w:rPr>
                <w:sz w:val="22"/>
              </w:rPr>
              <w:t>Yasukuni</w:t>
            </w:r>
            <w:proofErr w:type="spellEnd"/>
            <w:r>
              <w:rPr>
                <w:sz w:val="22"/>
              </w:rPr>
              <w:t xml:space="preserve"> Shrine</w:t>
            </w:r>
          </w:p>
        </w:tc>
        <w:tc>
          <w:tcPr>
            <w:tcW w:w="1967" w:type="dxa"/>
            <w:tcMar>
              <w:top w:w="57" w:type="dxa"/>
              <w:left w:w="57" w:type="dxa"/>
              <w:bottom w:w="57" w:type="dxa"/>
              <w:right w:w="57" w:type="dxa"/>
            </w:tcMar>
          </w:tcPr>
          <w:p w:rsidR="006B78EF" w:rsidRDefault="00127B20" w:rsidP="005A2377">
            <w:pPr>
              <w:rPr>
                <w:b/>
                <w:sz w:val="22"/>
              </w:rPr>
            </w:pPr>
            <w:r w:rsidRPr="005A2377">
              <w:rPr>
                <w:b/>
                <w:sz w:val="22"/>
              </w:rPr>
              <w:t>Duration</w:t>
            </w:r>
          </w:p>
          <w:p w:rsidR="00CE40F3" w:rsidRDefault="00CE40F3" w:rsidP="005A2377">
            <w:pPr>
              <w:rPr>
                <w:b/>
                <w:sz w:val="22"/>
              </w:rPr>
            </w:pPr>
          </w:p>
          <w:p w:rsidR="00CE40F3" w:rsidRPr="00CE40F3" w:rsidRDefault="00CE40F3" w:rsidP="005A2377">
            <w:pPr>
              <w:rPr>
                <w:sz w:val="22"/>
              </w:rPr>
            </w:pPr>
          </w:p>
        </w:tc>
        <w:tc>
          <w:tcPr>
            <w:tcW w:w="5782" w:type="dxa"/>
            <w:tcMar>
              <w:top w:w="57" w:type="dxa"/>
              <w:left w:w="57" w:type="dxa"/>
              <w:bottom w:w="57" w:type="dxa"/>
              <w:right w:w="57" w:type="dxa"/>
            </w:tcMar>
          </w:tcPr>
          <w:p w:rsidR="00F516EB" w:rsidRPr="005A2377" w:rsidRDefault="00F53F4B" w:rsidP="00F53F4B">
            <w:pPr>
              <w:rPr>
                <w:rFonts w:cs="Arial"/>
                <w:i/>
                <w:sz w:val="22"/>
              </w:rPr>
            </w:pPr>
            <w:r>
              <w:rPr>
                <w:sz w:val="22"/>
              </w:rPr>
              <w:t>10 hours</w:t>
            </w:r>
          </w:p>
        </w:tc>
      </w:tr>
      <w:tr w:rsidR="00127B20" w:rsidRPr="005A2377" w:rsidTr="00CE40F3">
        <w:trPr>
          <w:cantSplit/>
        </w:trPr>
        <w:tc>
          <w:tcPr>
            <w:tcW w:w="1940" w:type="dxa"/>
            <w:tcMar>
              <w:top w:w="57" w:type="dxa"/>
              <w:left w:w="57" w:type="dxa"/>
              <w:bottom w:w="57" w:type="dxa"/>
              <w:right w:w="57" w:type="dxa"/>
            </w:tcMar>
          </w:tcPr>
          <w:p w:rsidR="00127B20" w:rsidRPr="005A2377" w:rsidRDefault="00127B20" w:rsidP="005A2377">
            <w:pPr>
              <w:rPr>
                <w:b/>
                <w:sz w:val="22"/>
              </w:rPr>
            </w:pPr>
            <w:r w:rsidRPr="005A2377">
              <w:rPr>
                <w:b/>
                <w:sz w:val="22"/>
              </w:rPr>
              <w:t>Unit Description</w:t>
            </w:r>
          </w:p>
        </w:tc>
        <w:tc>
          <w:tcPr>
            <w:tcW w:w="13460" w:type="dxa"/>
            <w:gridSpan w:val="3"/>
            <w:tcMar>
              <w:top w:w="57" w:type="dxa"/>
              <w:left w:w="57" w:type="dxa"/>
              <w:bottom w:w="57" w:type="dxa"/>
              <w:right w:w="57" w:type="dxa"/>
            </w:tcMar>
          </w:tcPr>
          <w:p w:rsidR="00127B20" w:rsidRPr="008139B3" w:rsidRDefault="000E45AF" w:rsidP="000E45AF">
            <w:pPr>
              <w:rPr>
                <w:rFonts w:cs="Arial"/>
                <w:sz w:val="22"/>
              </w:rPr>
            </w:pPr>
            <w:r>
              <w:rPr>
                <w:rFonts w:cs="Arial"/>
                <w:sz w:val="22"/>
              </w:rPr>
              <w:t xml:space="preserve">Students investigate ways in which the past is represented and commemorated. The Historical concepts and skills content </w:t>
            </w:r>
            <w:proofErr w:type="gramStart"/>
            <w:r>
              <w:rPr>
                <w:rFonts w:cs="Arial"/>
                <w:sz w:val="22"/>
              </w:rPr>
              <w:t>is</w:t>
            </w:r>
            <w:proofErr w:type="gramEnd"/>
            <w:r>
              <w:rPr>
                <w:rFonts w:cs="Arial"/>
                <w:sz w:val="22"/>
              </w:rPr>
              <w:t xml:space="preserve"> integrated </w:t>
            </w:r>
            <w:r w:rsidR="00E85C36">
              <w:rPr>
                <w:rFonts w:cs="Arial"/>
                <w:sz w:val="22"/>
              </w:rPr>
              <w:t>with</w:t>
            </w:r>
            <w:r>
              <w:rPr>
                <w:rFonts w:cs="Arial"/>
                <w:sz w:val="22"/>
              </w:rPr>
              <w:t>in this unit as appropriate.</w:t>
            </w:r>
          </w:p>
        </w:tc>
      </w:tr>
      <w:tr w:rsidR="00AF0594" w:rsidRPr="005A2377" w:rsidTr="00CE40F3">
        <w:trPr>
          <w:cantSplit/>
        </w:trPr>
        <w:tc>
          <w:tcPr>
            <w:tcW w:w="15400" w:type="dxa"/>
            <w:gridSpan w:val="4"/>
            <w:tcMar>
              <w:top w:w="57" w:type="dxa"/>
              <w:left w:w="57" w:type="dxa"/>
              <w:bottom w:w="57" w:type="dxa"/>
              <w:right w:w="57" w:type="dxa"/>
            </w:tcMar>
          </w:tcPr>
          <w:p w:rsidR="00AF0594" w:rsidRDefault="00AF0594" w:rsidP="005A2377">
            <w:pPr>
              <w:rPr>
                <w:b/>
                <w:sz w:val="22"/>
              </w:rPr>
            </w:pPr>
            <w:r w:rsidRPr="005A2377">
              <w:rPr>
                <w:b/>
                <w:sz w:val="22"/>
              </w:rPr>
              <w:t>Outcomes</w:t>
            </w:r>
          </w:p>
          <w:p w:rsidR="00E85C36" w:rsidRPr="00E85C36" w:rsidRDefault="00E85C36" w:rsidP="005A2377">
            <w:pPr>
              <w:rPr>
                <w:sz w:val="22"/>
              </w:rPr>
            </w:pPr>
            <w:r w:rsidRPr="00E85C36">
              <w:rPr>
                <w:sz w:val="22"/>
              </w:rPr>
              <w:t>A student:</w:t>
            </w:r>
          </w:p>
          <w:p w:rsidR="00397BA9" w:rsidRPr="00397BA9" w:rsidRDefault="00E85C36" w:rsidP="00397BA9">
            <w:pPr>
              <w:contextualSpacing/>
              <w:rPr>
                <w:sz w:val="22"/>
              </w:rPr>
            </w:pPr>
            <w:r w:rsidRPr="00E85C36">
              <w:rPr>
                <w:b/>
                <w:sz w:val="22"/>
              </w:rPr>
              <w:t>M</w:t>
            </w:r>
            <w:r w:rsidR="00397BA9" w:rsidRPr="00E85C36">
              <w:rPr>
                <w:b/>
                <w:sz w:val="22"/>
              </w:rPr>
              <w:t>H11-6</w:t>
            </w:r>
            <w:r w:rsidR="00397BA9">
              <w:rPr>
                <w:sz w:val="22"/>
              </w:rPr>
              <w:t xml:space="preserve"> </w:t>
            </w:r>
            <w:r w:rsidR="00397BA9" w:rsidRPr="00397BA9">
              <w:rPr>
                <w:sz w:val="22"/>
              </w:rPr>
              <w:t>analyses and interprets different types of sources for evidence to support an</w:t>
            </w:r>
            <w:r w:rsidR="00397BA9">
              <w:rPr>
                <w:sz w:val="22"/>
              </w:rPr>
              <w:t xml:space="preserve"> historical account or argument</w:t>
            </w:r>
          </w:p>
          <w:p w:rsidR="00397BA9" w:rsidRPr="00397BA9" w:rsidRDefault="00E85C36" w:rsidP="00397BA9">
            <w:pPr>
              <w:contextualSpacing/>
              <w:rPr>
                <w:sz w:val="22"/>
              </w:rPr>
            </w:pPr>
            <w:r w:rsidRPr="00E85C36">
              <w:rPr>
                <w:b/>
                <w:sz w:val="22"/>
              </w:rPr>
              <w:t>M</w:t>
            </w:r>
            <w:r w:rsidR="00397BA9" w:rsidRPr="00E85C36">
              <w:rPr>
                <w:b/>
                <w:sz w:val="22"/>
              </w:rPr>
              <w:t>H11-7</w:t>
            </w:r>
            <w:r w:rsidR="00397BA9">
              <w:rPr>
                <w:sz w:val="22"/>
              </w:rPr>
              <w:t xml:space="preserve"> </w:t>
            </w:r>
            <w:r w:rsidR="00397BA9" w:rsidRPr="00397BA9">
              <w:rPr>
                <w:sz w:val="22"/>
              </w:rPr>
              <w:t>discusses and evaluates differing interpretations and re</w:t>
            </w:r>
            <w:r w:rsidR="00397BA9">
              <w:rPr>
                <w:sz w:val="22"/>
              </w:rPr>
              <w:t>presentations of the past</w:t>
            </w:r>
          </w:p>
          <w:p w:rsidR="00397BA9" w:rsidRPr="00397BA9" w:rsidRDefault="00E85C36" w:rsidP="00397BA9">
            <w:pPr>
              <w:contextualSpacing/>
              <w:rPr>
                <w:sz w:val="22"/>
              </w:rPr>
            </w:pPr>
            <w:r w:rsidRPr="00E85C36">
              <w:rPr>
                <w:b/>
                <w:sz w:val="22"/>
              </w:rPr>
              <w:t>M</w:t>
            </w:r>
            <w:r w:rsidR="00397BA9" w:rsidRPr="00E85C36">
              <w:rPr>
                <w:b/>
                <w:sz w:val="22"/>
              </w:rPr>
              <w:t>H11-9</w:t>
            </w:r>
            <w:r w:rsidR="00397BA9">
              <w:rPr>
                <w:sz w:val="22"/>
              </w:rPr>
              <w:t xml:space="preserve"> </w:t>
            </w:r>
            <w:r w:rsidR="00397BA9" w:rsidRPr="00397BA9">
              <w:rPr>
                <w:sz w:val="22"/>
              </w:rPr>
              <w:t xml:space="preserve">communicates historical understanding, using historical knowledge, concepts and terms, in appropriate </w:t>
            </w:r>
            <w:r w:rsidR="00397BA9">
              <w:rPr>
                <w:sz w:val="22"/>
              </w:rPr>
              <w:t>and well-structured forms</w:t>
            </w:r>
          </w:p>
          <w:p w:rsidR="00AF0594" w:rsidRPr="009F47E9" w:rsidRDefault="00E85C36" w:rsidP="00E85C36">
            <w:pPr>
              <w:spacing w:before="200"/>
              <w:contextualSpacing/>
              <w:rPr>
                <w:sz w:val="22"/>
              </w:rPr>
            </w:pPr>
            <w:r w:rsidRPr="00E85C36">
              <w:rPr>
                <w:b/>
                <w:sz w:val="22"/>
              </w:rPr>
              <w:t>M</w:t>
            </w:r>
            <w:r w:rsidR="00397BA9" w:rsidRPr="00E85C36">
              <w:rPr>
                <w:b/>
                <w:sz w:val="22"/>
              </w:rPr>
              <w:t>H11-10</w:t>
            </w:r>
            <w:r w:rsidR="00397BA9">
              <w:rPr>
                <w:sz w:val="22"/>
              </w:rPr>
              <w:t xml:space="preserve"> </w:t>
            </w:r>
            <w:r w:rsidR="00397BA9" w:rsidRPr="00397BA9">
              <w:rPr>
                <w:sz w:val="22"/>
              </w:rPr>
              <w:t xml:space="preserve">discusses contemporary methods and issues involved in the </w:t>
            </w:r>
            <w:r w:rsidR="00397BA9">
              <w:rPr>
                <w:sz w:val="22"/>
              </w:rPr>
              <w:t xml:space="preserve">investigation of </w:t>
            </w:r>
            <w:r>
              <w:rPr>
                <w:sz w:val="22"/>
              </w:rPr>
              <w:t>modern</w:t>
            </w:r>
            <w:r w:rsidR="00397BA9">
              <w:rPr>
                <w:sz w:val="22"/>
              </w:rPr>
              <w:t xml:space="preserve"> history</w:t>
            </w:r>
          </w:p>
        </w:tc>
      </w:tr>
      <w:tr w:rsidR="00B95217" w:rsidRPr="005A2377" w:rsidTr="00CE40F3">
        <w:trPr>
          <w:cantSplit/>
          <w:trHeight w:val="794"/>
        </w:trPr>
        <w:tc>
          <w:tcPr>
            <w:tcW w:w="7651" w:type="dxa"/>
            <w:gridSpan w:val="2"/>
            <w:tcMar>
              <w:top w:w="57" w:type="dxa"/>
              <w:left w:w="57" w:type="dxa"/>
              <w:bottom w:w="57" w:type="dxa"/>
              <w:right w:w="57" w:type="dxa"/>
            </w:tcMar>
          </w:tcPr>
          <w:p w:rsidR="00B95217" w:rsidRPr="005A2377" w:rsidRDefault="00C55937" w:rsidP="005A2377">
            <w:pPr>
              <w:rPr>
                <w:b/>
                <w:sz w:val="22"/>
              </w:rPr>
            </w:pPr>
            <w:r>
              <w:rPr>
                <w:b/>
                <w:sz w:val="22"/>
              </w:rPr>
              <w:t>Historical Concepts and Skills</w:t>
            </w:r>
          </w:p>
          <w:p w:rsidR="00E83C98" w:rsidRPr="00403107" w:rsidRDefault="00E83C98" w:rsidP="00403107">
            <w:pPr>
              <w:numPr>
                <w:ilvl w:val="0"/>
                <w:numId w:val="19"/>
              </w:numPr>
              <w:ind w:left="360" w:hanging="360"/>
              <w:rPr>
                <w:sz w:val="22"/>
              </w:rPr>
            </w:pPr>
            <w:r w:rsidRPr="00403107">
              <w:rPr>
                <w:sz w:val="22"/>
              </w:rPr>
              <w:t xml:space="preserve">Analyse sources to identify and account for the different perspectives of individuals and groups in the past (ACHMH010) </w:t>
            </w:r>
            <w:r w:rsidRPr="00403107">
              <w:rPr>
                <w:noProof/>
                <w:sz w:val="22"/>
                <w:lang w:eastAsia="en-AU"/>
              </w:rPr>
              <w:drawing>
                <wp:inline distT="114300" distB="114300" distL="114300" distR="114300" wp14:anchorId="379A02D4" wp14:editId="2A6B5A34">
                  <wp:extent cx="123825" cy="104775"/>
                  <wp:effectExtent l="0" t="0" r="9525" b="9525"/>
                  <wp:docPr id="459" name="image4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0.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737058E6" wp14:editId="380F71DB">
                  <wp:extent cx="133350" cy="104775"/>
                  <wp:effectExtent l="0" t="0" r="0" b="9525"/>
                  <wp:docPr id="7"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438FB39A" wp14:editId="7AE9FB00">
                  <wp:extent cx="104775" cy="104775"/>
                  <wp:effectExtent l="0" t="0" r="9525" b="9525"/>
                  <wp:docPr id="462" name="image14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07.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7D4F29F4" wp14:editId="610978B0">
                  <wp:extent cx="133350" cy="104775"/>
                  <wp:effectExtent l="0" t="0" r="0" b="9525"/>
                  <wp:docPr id="8"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4367EC4D" wp14:editId="04E12330">
                  <wp:extent cx="95250" cy="104775"/>
                  <wp:effectExtent l="0" t="0" r="0" b="9525"/>
                  <wp:docPr id="466" name="image99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94.png"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4C0F9A6A" wp14:editId="0DA3B445">
                  <wp:extent cx="66675" cy="104775"/>
                  <wp:effectExtent l="0" t="0" r="9525" b="9525"/>
                  <wp:docPr id="467"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3"/>
                          <a:srcRect/>
                          <a:stretch>
                            <a:fillRect/>
                          </a:stretch>
                        </pic:blipFill>
                        <pic:spPr>
                          <a:xfrm>
                            <a:off x="0" y="0"/>
                            <a:ext cx="66675" cy="104775"/>
                          </a:xfrm>
                          <a:prstGeom prst="rect">
                            <a:avLst/>
                          </a:prstGeom>
                          <a:ln/>
                        </pic:spPr>
                      </pic:pic>
                    </a:graphicData>
                  </a:graphic>
                </wp:inline>
              </w:drawing>
            </w:r>
          </w:p>
          <w:p w:rsidR="00E83C98" w:rsidRPr="00403107" w:rsidRDefault="00E83C98" w:rsidP="00403107">
            <w:pPr>
              <w:numPr>
                <w:ilvl w:val="0"/>
                <w:numId w:val="19"/>
              </w:numPr>
              <w:ind w:left="360" w:hanging="360"/>
              <w:rPr>
                <w:sz w:val="22"/>
              </w:rPr>
            </w:pPr>
            <w:r w:rsidRPr="00403107">
              <w:rPr>
                <w:sz w:val="22"/>
              </w:rPr>
              <w:t xml:space="preserve">Identify and analyse problems relating to sources in the investigation of the past (ACHMH011) </w:t>
            </w:r>
            <w:r w:rsidRPr="00403107">
              <w:rPr>
                <w:noProof/>
                <w:sz w:val="22"/>
                <w:lang w:eastAsia="en-AU"/>
              </w:rPr>
              <w:drawing>
                <wp:inline distT="114300" distB="114300" distL="114300" distR="114300" wp14:anchorId="5C4773C9" wp14:editId="3C31D31E">
                  <wp:extent cx="123825" cy="104775"/>
                  <wp:effectExtent l="0" t="0" r="9525" b="9525"/>
                  <wp:docPr id="476" name="image70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08.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5E7CEB5B" wp14:editId="795DEA81">
                  <wp:extent cx="104775" cy="104775"/>
                  <wp:effectExtent l="0" t="0" r="9525" b="9525"/>
                  <wp:docPr id="477" name="image142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24.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403107" w:rsidRPr="00403107" w:rsidRDefault="00403107" w:rsidP="00403107">
            <w:pPr>
              <w:numPr>
                <w:ilvl w:val="0"/>
                <w:numId w:val="19"/>
              </w:numPr>
              <w:ind w:left="360" w:hanging="360"/>
              <w:rPr>
                <w:sz w:val="22"/>
              </w:rPr>
            </w:pPr>
            <w:r w:rsidRPr="00403107">
              <w:rPr>
                <w:sz w:val="22"/>
              </w:rPr>
              <w:t xml:space="preserve">Use evidence from a range of sources to inform investigation and research (ACHMH005) </w:t>
            </w:r>
            <w:r w:rsidRPr="00403107">
              <w:rPr>
                <w:noProof/>
                <w:sz w:val="22"/>
                <w:lang w:eastAsia="en-AU"/>
              </w:rPr>
              <w:drawing>
                <wp:inline distT="114300" distB="114300" distL="114300" distR="114300" wp14:anchorId="22FA5F03" wp14:editId="7A1BAB36">
                  <wp:extent cx="133350" cy="104775"/>
                  <wp:effectExtent l="0" t="0" r="0" b="9525"/>
                  <wp:docPr id="497"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12842E81" wp14:editId="73F8D650">
                  <wp:extent cx="133350" cy="104775"/>
                  <wp:effectExtent l="0" t="0" r="0" b="9525"/>
                  <wp:docPr id="499" name="image92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26.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403107" w:rsidRPr="00403107" w:rsidRDefault="00403107" w:rsidP="00403107">
            <w:pPr>
              <w:numPr>
                <w:ilvl w:val="0"/>
                <w:numId w:val="19"/>
              </w:numPr>
              <w:ind w:left="360" w:hanging="360"/>
              <w:rPr>
                <w:sz w:val="22"/>
              </w:rPr>
            </w:pPr>
            <w:r w:rsidRPr="00403107">
              <w:rPr>
                <w:sz w:val="22"/>
              </w:rPr>
              <w:t xml:space="preserve">Communicate historical understanding, using historical knowledge, concepts and terms, in forms appropriate to purpose and audience (ACHMH014) </w:t>
            </w:r>
            <w:r w:rsidRPr="00403107">
              <w:rPr>
                <w:noProof/>
                <w:sz w:val="22"/>
                <w:lang w:eastAsia="en-AU"/>
              </w:rPr>
              <w:drawing>
                <wp:inline distT="114300" distB="114300" distL="114300" distR="114300" wp14:anchorId="2C42B7E5" wp14:editId="16959733">
                  <wp:extent cx="123825" cy="104775"/>
                  <wp:effectExtent l="0" t="0" r="9525" b="9525"/>
                  <wp:docPr id="518" name="image131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17.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03D62C30" wp14:editId="4A69EACE">
                  <wp:extent cx="133350" cy="104775"/>
                  <wp:effectExtent l="0" t="0" r="0" b="9525"/>
                  <wp:docPr id="6"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5C61B19B" wp14:editId="2AE7802B">
                  <wp:extent cx="104775" cy="104775"/>
                  <wp:effectExtent l="0" t="0" r="9525" b="9525"/>
                  <wp:docPr id="520" name="image128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85.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0E2CCAF0" wp14:editId="67722071">
                  <wp:extent cx="133350" cy="104775"/>
                  <wp:effectExtent l="0" t="0" r="0" b="9525"/>
                  <wp:docPr id="521" name="image125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255.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2053854A" wp14:editId="3F2D337C">
                  <wp:extent cx="66675" cy="104775"/>
                  <wp:effectExtent l="0" t="0" r="9525" b="9525"/>
                  <wp:docPr id="523" name="image14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437.png" title="Difference and diversity icon"/>
                          <pic:cNvPicPr preferRelativeResize="0"/>
                        </pic:nvPicPr>
                        <pic:blipFill>
                          <a:blip r:embed="rId13"/>
                          <a:srcRect/>
                          <a:stretch>
                            <a:fillRect/>
                          </a:stretch>
                        </pic:blipFill>
                        <pic:spPr>
                          <a:xfrm>
                            <a:off x="0" y="0"/>
                            <a:ext cx="66675" cy="104775"/>
                          </a:xfrm>
                          <a:prstGeom prst="rect">
                            <a:avLst/>
                          </a:prstGeom>
                          <a:ln/>
                        </pic:spPr>
                      </pic:pic>
                    </a:graphicData>
                  </a:graphic>
                </wp:inline>
              </w:drawing>
            </w:r>
          </w:p>
        </w:tc>
        <w:tc>
          <w:tcPr>
            <w:tcW w:w="7749" w:type="dxa"/>
            <w:gridSpan w:val="2"/>
            <w:tcMar>
              <w:top w:w="57" w:type="dxa"/>
              <w:left w:w="57" w:type="dxa"/>
              <w:bottom w:w="57" w:type="dxa"/>
              <w:right w:w="57" w:type="dxa"/>
            </w:tcMar>
          </w:tcPr>
          <w:p w:rsidR="00C93CA0" w:rsidRDefault="0024634D" w:rsidP="009A2FA0">
            <w:pPr>
              <w:rPr>
                <w:b/>
                <w:sz w:val="22"/>
              </w:rPr>
            </w:pPr>
            <w:r>
              <w:rPr>
                <w:b/>
                <w:sz w:val="22"/>
              </w:rPr>
              <w:t>A</w:t>
            </w:r>
            <w:r w:rsidR="00AF0594" w:rsidRPr="005A2377">
              <w:rPr>
                <w:b/>
                <w:sz w:val="22"/>
              </w:rPr>
              <w:t>ssessment</w:t>
            </w:r>
          </w:p>
          <w:p w:rsidR="009A2FA0" w:rsidRDefault="009A2FA0" w:rsidP="009A2FA0">
            <w:pPr>
              <w:rPr>
                <w:b/>
                <w:sz w:val="22"/>
              </w:rPr>
            </w:pPr>
          </w:p>
          <w:p w:rsidR="00092915" w:rsidRDefault="009A2FA0" w:rsidP="00092915">
            <w:pPr>
              <w:rPr>
                <w:b/>
                <w:sz w:val="22"/>
              </w:rPr>
            </w:pPr>
            <w:r>
              <w:rPr>
                <w:b/>
                <w:sz w:val="22"/>
              </w:rPr>
              <w:t>Assessment as Lear</w:t>
            </w:r>
            <w:r w:rsidR="00092915">
              <w:rPr>
                <w:b/>
                <w:sz w:val="22"/>
              </w:rPr>
              <w:t>ning</w:t>
            </w:r>
          </w:p>
          <w:p w:rsidR="009A2FA0" w:rsidRPr="00092915" w:rsidRDefault="00092915" w:rsidP="00092915">
            <w:pPr>
              <w:rPr>
                <w:sz w:val="22"/>
              </w:rPr>
            </w:pPr>
            <w:r w:rsidRPr="00092915">
              <w:rPr>
                <w:sz w:val="22"/>
              </w:rPr>
              <w:t>Representation and commemoration of the past through various mediums. Peer review of research.</w:t>
            </w:r>
          </w:p>
        </w:tc>
      </w:tr>
    </w:tbl>
    <w:p w:rsidR="0039721F" w:rsidRDefault="0039721F" w:rsidP="00352493">
      <w:pPr>
        <w:numPr>
          <w:ilvl w:val="0"/>
          <w:numId w:val="1"/>
        </w:numPr>
        <w:spacing w:after="0" w:line="240" w:lineRule="auto"/>
        <w:ind w:left="360" w:hanging="360"/>
      </w:pPr>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431"/>
        <w:gridCol w:w="7461"/>
        <w:gridCol w:w="3508"/>
      </w:tblGrid>
      <w:tr w:rsidR="0088436D" w:rsidRPr="005A2377" w:rsidTr="00401BC5">
        <w:trPr>
          <w:cantSplit/>
          <w:tblHeader/>
        </w:trPr>
        <w:tc>
          <w:tcPr>
            <w:tcW w:w="4431" w:type="dxa"/>
            <w:tcMar>
              <w:top w:w="57" w:type="dxa"/>
              <w:left w:w="57" w:type="dxa"/>
              <w:bottom w:w="57" w:type="dxa"/>
              <w:right w:w="57" w:type="dxa"/>
            </w:tcMar>
          </w:tcPr>
          <w:p w:rsidR="0088436D" w:rsidRPr="005A2377" w:rsidRDefault="0088436D" w:rsidP="005A2377">
            <w:pPr>
              <w:rPr>
                <w:b/>
                <w:sz w:val="22"/>
              </w:rPr>
            </w:pPr>
            <w:r w:rsidRPr="005A2377">
              <w:rPr>
                <w:b/>
                <w:sz w:val="22"/>
              </w:rPr>
              <w:lastRenderedPageBreak/>
              <w:t>Content</w:t>
            </w:r>
          </w:p>
        </w:tc>
        <w:tc>
          <w:tcPr>
            <w:tcW w:w="7461" w:type="dxa"/>
            <w:tcMar>
              <w:top w:w="57" w:type="dxa"/>
              <w:left w:w="57" w:type="dxa"/>
              <w:bottom w:w="57" w:type="dxa"/>
              <w:right w:w="57" w:type="dxa"/>
            </w:tcMar>
          </w:tcPr>
          <w:p w:rsidR="0088436D" w:rsidRPr="005A2377" w:rsidRDefault="0088436D" w:rsidP="002D200B">
            <w:pPr>
              <w:rPr>
                <w:b/>
                <w:sz w:val="22"/>
              </w:rPr>
            </w:pPr>
            <w:r w:rsidRPr="005A2377">
              <w:rPr>
                <w:b/>
                <w:sz w:val="22"/>
              </w:rPr>
              <w:t>Teaching, learning</w:t>
            </w:r>
            <w:r w:rsidR="002D200B">
              <w:rPr>
                <w:b/>
                <w:sz w:val="22"/>
              </w:rPr>
              <w:t xml:space="preserve"> and</w:t>
            </w:r>
            <w:r w:rsidRPr="005A2377">
              <w:rPr>
                <w:b/>
                <w:sz w:val="22"/>
              </w:rPr>
              <w:t xml:space="preserve"> assessment</w:t>
            </w:r>
          </w:p>
        </w:tc>
        <w:tc>
          <w:tcPr>
            <w:tcW w:w="3508" w:type="dxa"/>
            <w:tcMar>
              <w:top w:w="57" w:type="dxa"/>
              <w:left w:w="57" w:type="dxa"/>
              <w:bottom w:w="57" w:type="dxa"/>
              <w:right w:w="57" w:type="dxa"/>
            </w:tcMar>
          </w:tcPr>
          <w:p w:rsidR="0088436D" w:rsidRPr="005A2377" w:rsidRDefault="00244556" w:rsidP="005A2377">
            <w:pPr>
              <w:rPr>
                <w:b/>
                <w:sz w:val="22"/>
              </w:rPr>
            </w:pPr>
            <w:r>
              <w:rPr>
                <w:b/>
                <w:sz w:val="22"/>
              </w:rPr>
              <w:t>Resources</w:t>
            </w:r>
          </w:p>
        </w:tc>
      </w:tr>
      <w:tr w:rsidR="0088436D" w:rsidRPr="00433F57" w:rsidTr="00A31A32">
        <w:trPr>
          <w:cantSplit/>
        </w:trPr>
        <w:tc>
          <w:tcPr>
            <w:tcW w:w="4431" w:type="dxa"/>
            <w:tcBorders>
              <w:bottom w:val="single" w:sz="4" w:space="0" w:color="auto"/>
            </w:tcBorders>
            <w:tcMar>
              <w:top w:w="57" w:type="dxa"/>
              <w:left w:w="57" w:type="dxa"/>
              <w:bottom w:w="57" w:type="dxa"/>
              <w:right w:w="57" w:type="dxa"/>
            </w:tcMar>
          </w:tcPr>
          <w:p w:rsidR="00103A22" w:rsidRPr="00103A22" w:rsidRDefault="00103A22" w:rsidP="00103A22">
            <w:pPr>
              <w:rPr>
                <w:sz w:val="22"/>
              </w:rPr>
            </w:pPr>
            <w:r w:rsidRPr="00103A22">
              <w:rPr>
                <w:sz w:val="22"/>
              </w:rPr>
              <w:t>Students investigate:</w:t>
            </w:r>
          </w:p>
          <w:p w:rsidR="0051180D" w:rsidRPr="00A31A32" w:rsidRDefault="00103A22" w:rsidP="00A31A32">
            <w:pPr>
              <w:numPr>
                <w:ilvl w:val="0"/>
                <w:numId w:val="1"/>
              </w:numPr>
              <w:ind w:left="360" w:hanging="360"/>
              <w:rPr>
                <w:sz w:val="22"/>
              </w:rPr>
            </w:pPr>
            <w:r w:rsidRPr="00103A22">
              <w:rPr>
                <w:sz w:val="22"/>
              </w:rPr>
              <w:t xml:space="preserve">the public nature of history and the uses of history </w:t>
            </w:r>
            <w:r w:rsidRPr="00103A22">
              <w:rPr>
                <w:noProof/>
                <w:sz w:val="22"/>
                <w:lang w:eastAsia="en-AU"/>
              </w:rPr>
              <w:drawing>
                <wp:inline distT="114300" distB="114300" distL="114300" distR="114300" wp14:anchorId="6D933AAF" wp14:editId="443F3AC5">
                  <wp:extent cx="133350" cy="104775"/>
                  <wp:effectExtent l="0" t="0" r="0" b="9525"/>
                  <wp:docPr id="1289"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48BE6052" wp14:editId="4A8211F0">
                  <wp:extent cx="104775" cy="104775"/>
                  <wp:effectExtent l="0" t="0" r="9525" b="9525"/>
                  <wp:docPr id="220" name="image24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49.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7AF71075" wp14:editId="733F4466">
                  <wp:extent cx="133350" cy="104775"/>
                  <wp:effectExtent l="0" t="0" r="0" b="9525"/>
                  <wp:docPr id="1294" name="image88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83.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7461" w:type="dxa"/>
            <w:tcBorders>
              <w:bottom w:val="single" w:sz="4" w:space="0" w:color="auto"/>
            </w:tcBorders>
            <w:tcMar>
              <w:top w:w="57" w:type="dxa"/>
              <w:left w:w="57" w:type="dxa"/>
              <w:bottom w:w="57" w:type="dxa"/>
              <w:right w:w="57" w:type="dxa"/>
            </w:tcMar>
          </w:tcPr>
          <w:p w:rsidR="00BC3FA8" w:rsidRDefault="00103A22" w:rsidP="00401BC5">
            <w:pPr>
              <w:numPr>
                <w:ilvl w:val="0"/>
                <w:numId w:val="19"/>
              </w:numPr>
              <w:ind w:left="360" w:hanging="360"/>
              <w:rPr>
                <w:sz w:val="22"/>
              </w:rPr>
            </w:pPr>
            <w:r>
              <w:rPr>
                <w:sz w:val="22"/>
              </w:rPr>
              <w:t xml:space="preserve">Students are asked to consider </w:t>
            </w:r>
            <w:r w:rsidR="00FA38BD">
              <w:rPr>
                <w:sz w:val="22"/>
              </w:rPr>
              <w:t xml:space="preserve">the </w:t>
            </w:r>
            <w:r>
              <w:rPr>
                <w:sz w:val="22"/>
              </w:rPr>
              <w:t>significance</w:t>
            </w:r>
            <w:r w:rsidR="00FA38BD">
              <w:rPr>
                <w:sz w:val="22"/>
              </w:rPr>
              <w:t xml:space="preserve"> of history</w:t>
            </w:r>
            <w:r>
              <w:rPr>
                <w:sz w:val="22"/>
              </w:rPr>
              <w:t>, in:</w:t>
            </w:r>
          </w:p>
          <w:p w:rsidR="00103A22" w:rsidRDefault="00103A22" w:rsidP="00103A22">
            <w:pPr>
              <w:numPr>
                <w:ilvl w:val="0"/>
                <w:numId w:val="27"/>
              </w:numPr>
              <w:rPr>
                <w:sz w:val="22"/>
              </w:rPr>
            </w:pPr>
            <w:r>
              <w:rPr>
                <w:sz w:val="22"/>
              </w:rPr>
              <w:t>their own life</w:t>
            </w:r>
          </w:p>
          <w:p w:rsidR="00103A22" w:rsidRDefault="00103A22" w:rsidP="00103A22">
            <w:pPr>
              <w:numPr>
                <w:ilvl w:val="0"/>
                <w:numId w:val="27"/>
              </w:numPr>
              <w:rPr>
                <w:sz w:val="22"/>
              </w:rPr>
            </w:pPr>
            <w:r>
              <w:rPr>
                <w:sz w:val="22"/>
              </w:rPr>
              <w:t>their school</w:t>
            </w:r>
          </w:p>
          <w:p w:rsidR="00103A22" w:rsidRDefault="00103A22" w:rsidP="00103A22">
            <w:pPr>
              <w:numPr>
                <w:ilvl w:val="0"/>
                <w:numId w:val="27"/>
              </w:numPr>
              <w:rPr>
                <w:sz w:val="22"/>
              </w:rPr>
            </w:pPr>
            <w:r>
              <w:rPr>
                <w:sz w:val="22"/>
              </w:rPr>
              <w:t>their community</w:t>
            </w:r>
          </w:p>
          <w:p w:rsidR="00103A22" w:rsidRDefault="00103A22" w:rsidP="00103A22">
            <w:pPr>
              <w:numPr>
                <w:ilvl w:val="0"/>
                <w:numId w:val="27"/>
              </w:numPr>
              <w:rPr>
                <w:sz w:val="22"/>
              </w:rPr>
            </w:pPr>
            <w:r>
              <w:rPr>
                <w:sz w:val="22"/>
              </w:rPr>
              <w:t>Australia.</w:t>
            </w:r>
          </w:p>
          <w:p w:rsidR="00FA38BD" w:rsidRDefault="00FA38BD" w:rsidP="00FA38BD">
            <w:pPr>
              <w:ind w:left="360"/>
              <w:rPr>
                <w:sz w:val="22"/>
              </w:rPr>
            </w:pPr>
            <w:r>
              <w:rPr>
                <w:sz w:val="22"/>
              </w:rPr>
              <w:t xml:space="preserve">Students may share their responses with the class, through a </w:t>
            </w:r>
            <w:r w:rsidR="00A31A32">
              <w:rPr>
                <w:sz w:val="22"/>
              </w:rPr>
              <w:t>group</w:t>
            </w:r>
            <w:r>
              <w:rPr>
                <w:sz w:val="22"/>
              </w:rPr>
              <w:t xml:space="preserve"> discussion.</w:t>
            </w:r>
          </w:p>
          <w:p w:rsidR="00A31A32" w:rsidRDefault="00A31A32" w:rsidP="00A31A32">
            <w:pPr>
              <w:numPr>
                <w:ilvl w:val="0"/>
                <w:numId w:val="19"/>
              </w:numPr>
              <w:ind w:left="360" w:hanging="360"/>
              <w:rPr>
                <w:sz w:val="22"/>
              </w:rPr>
            </w:pPr>
            <w:r>
              <w:rPr>
                <w:sz w:val="22"/>
              </w:rPr>
              <w:t xml:space="preserve">Students engage in a teacher-led discussion to define ‘public history’. Examples may be provided which illustrate the application of history in the real world. </w:t>
            </w:r>
          </w:p>
          <w:p w:rsidR="00103A22" w:rsidRPr="00A31A32" w:rsidRDefault="00103A22" w:rsidP="00A31A32">
            <w:pPr>
              <w:numPr>
                <w:ilvl w:val="0"/>
                <w:numId w:val="19"/>
              </w:numPr>
              <w:ind w:left="360" w:hanging="360"/>
              <w:rPr>
                <w:sz w:val="22"/>
              </w:rPr>
            </w:pPr>
            <w:r>
              <w:rPr>
                <w:sz w:val="22"/>
              </w:rPr>
              <w:t xml:space="preserve">For one context considered in the </w:t>
            </w:r>
            <w:r w:rsidR="00A31A32">
              <w:rPr>
                <w:sz w:val="22"/>
              </w:rPr>
              <w:t>initial</w:t>
            </w:r>
            <w:r>
              <w:rPr>
                <w:sz w:val="22"/>
              </w:rPr>
              <w:t xml:space="preserve"> activity, students </w:t>
            </w:r>
            <w:r w:rsidR="00A31A32">
              <w:rPr>
                <w:sz w:val="22"/>
              </w:rPr>
              <w:t>use their own experiences, as well as independent research, to identify and summarise</w:t>
            </w:r>
            <w:r>
              <w:rPr>
                <w:sz w:val="22"/>
              </w:rPr>
              <w:t xml:space="preserve"> five</w:t>
            </w:r>
            <w:r w:rsidR="00FA38BD">
              <w:rPr>
                <w:sz w:val="22"/>
              </w:rPr>
              <w:t xml:space="preserve"> </w:t>
            </w:r>
            <w:r w:rsidR="00A31A32">
              <w:rPr>
                <w:sz w:val="22"/>
              </w:rPr>
              <w:t>examples of how history has been applied</w:t>
            </w:r>
            <w:r w:rsidR="00FA38BD">
              <w:rPr>
                <w:sz w:val="22"/>
              </w:rPr>
              <w:t>.</w:t>
            </w:r>
          </w:p>
        </w:tc>
        <w:tc>
          <w:tcPr>
            <w:tcW w:w="3508" w:type="dxa"/>
            <w:tcBorders>
              <w:bottom w:val="single" w:sz="4" w:space="0" w:color="auto"/>
            </w:tcBorders>
            <w:tcMar>
              <w:top w:w="57" w:type="dxa"/>
              <w:left w:w="57" w:type="dxa"/>
              <w:bottom w:w="57" w:type="dxa"/>
              <w:right w:w="57" w:type="dxa"/>
            </w:tcMar>
          </w:tcPr>
          <w:p w:rsidR="000D4F02" w:rsidRPr="005A4557" w:rsidRDefault="000D4F02" w:rsidP="00041C9C">
            <w:pPr>
              <w:rPr>
                <w:rFonts w:cs="Arial"/>
                <w:sz w:val="22"/>
              </w:rPr>
            </w:pPr>
            <w:r>
              <w:rPr>
                <w:rFonts w:cs="Arial"/>
                <w:sz w:val="22"/>
              </w:rPr>
              <w:t xml:space="preserve"> </w:t>
            </w:r>
          </w:p>
        </w:tc>
      </w:tr>
      <w:tr w:rsidR="00A31A32" w:rsidRPr="00433F57" w:rsidTr="00AC4419">
        <w:trPr>
          <w:trHeight w:val="6135"/>
        </w:trPr>
        <w:tc>
          <w:tcPr>
            <w:tcW w:w="4431" w:type="dxa"/>
            <w:tcMar>
              <w:top w:w="57" w:type="dxa"/>
              <w:left w:w="57" w:type="dxa"/>
              <w:bottom w:w="57" w:type="dxa"/>
              <w:right w:w="57" w:type="dxa"/>
            </w:tcMar>
          </w:tcPr>
          <w:p w:rsidR="00A31A32" w:rsidRDefault="00A31A32" w:rsidP="00A31A32">
            <w:pPr>
              <w:numPr>
                <w:ilvl w:val="0"/>
                <w:numId w:val="1"/>
              </w:numPr>
              <w:ind w:left="360" w:hanging="360"/>
              <w:rPr>
                <w:sz w:val="22"/>
              </w:rPr>
            </w:pPr>
            <w:r w:rsidRPr="00103A22">
              <w:rPr>
                <w:sz w:val="22"/>
              </w:rPr>
              <w:t xml:space="preserve">how history is represented through ONE of the following: memorials, museums, the media, film, documentaries and online </w:t>
            </w:r>
            <w:r w:rsidRPr="00103A22">
              <w:rPr>
                <w:noProof/>
                <w:sz w:val="22"/>
                <w:lang w:eastAsia="en-AU"/>
              </w:rPr>
              <w:drawing>
                <wp:inline distT="114300" distB="114300" distL="114300" distR="114300" wp14:anchorId="6D228BE5" wp14:editId="615DCBF9">
                  <wp:extent cx="114300" cy="104775"/>
                  <wp:effectExtent l="0" t="0" r="0" b="9525"/>
                  <wp:docPr id="1111" name="image1141.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141.png" title="Aboriginal and Torres Strait Islander histories and cultures icon"/>
                          <pic:cNvPicPr preferRelativeResize="0"/>
                        </pic:nvPicPr>
                        <pic:blipFill>
                          <a:blip r:embed="rId15"/>
                          <a:srcRect/>
                          <a:stretch>
                            <a:fillRect/>
                          </a:stretch>
                        </pic:blipFill>
                        <pic:spPr>
                          <a:xfrm>
                            <a:off x="0" y="0"/>
                            <a:ext cx="114300"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6666EBFE" wp14:editId="157855A1">
                  <wp:extent cx="123825" cy="104775"/>
                  <wp:effectExtent l="0" t="0" r="9525" b="9525"/>
                  <wp:docPr id="1139" name="image11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169.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4479B99C" wp14:editId="0CD27163">
                  <wp:extent cx="133350" cy="104775"/>
                  <wp:effectExtent l="0" t="0" r="0" b="9525"/>
                  <wp:docPr id="76" name="image9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69.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0054A308" wp14:editId="49FF28FF">
                  <wp:extent cx="104775" cy="104775"/>
                  <wp:effectExtent l="0" t="0" r="9525" b="9525"/>
                  <wp:docPr id="847" name="image87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77.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5CD4963A" wp14:editId="62942442">
                  <wp:extent cx="133350" cy="104775"/>
                  <wp:effectExtent l="0" t="0" r="0" b="9525"/>
                  <wp:docPr id="1296" name="image88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83.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A31A32" w:rsidRDefault="00A31A32" w:rsidP="00D644B1">
            <w:pPr>
              <w:numPr>
                <w:ilvl w:val="0"/>
                <w:numId w:val="1"/>
              </w:numPr>
              <w:ind w:left="360" w:hanging="360"/>
              <w:rPr>
                <w:sz w:val="22"/>
              </w:rPr>
            </w:pPr>
            <w:r w:rsidRPr="00103A22">
              <w:rPr>
                <w:sz w:val="22"/>
              </w:rPr>
              <w:t xml:space="preserve">the various ways the past is commemorated, including the role of key influences, </w:t>
            </w:r>
            <w:proofErr w:type="spellStart"/>
            <w:r w:rsidRPr="00103A22">
              <w:rPr>
                <w:sz w:val="22"/>
              </w:rPr>
              <w:t>eg</w:t>
            </w:r>
            <w:proofErr w:type="spellEnd"/>
            <w:r w:rsidRPr="00103A22">
              <w:rPr>
                <w:sz w:val="22"/>
              </w:rPr>
              <w:t xml:space="preserve"> nationalism and nation-building </w:t>
            </w:r>
            <w:r w:rsidRPr="00103A22">
              <w:rPr>
                <w:noProof/>
                <w:sz w:val="22"/>
                <w:lang w:eastAsia="en-AU"/>
              </w:rPr>
              <w:drawing>
                <wp:inline distT="114300" distB="114300" distL="114300" distR="114300" wp14:anchorId="683FD51C" wp14:editId="73DF8AE8">
                  <wp:extent cx="123825" cy="104775"/>
                  <wp:effectExtent l="0" t="0" r="9525" b="9525"/>
                  <wp:docPr id="314" name="image34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44.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61E0CA29" wp14:editId="07B865AF">
                  <wp:extent cx="133350" cy="104775"/>
                  <wp:effectExtent l="0" t="0" r="0" b="9525"/>
                  <wp:docPr id="1291"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4821956F" wp14:editId="4B6E9944">
                  <wp:extent cx="104775" cy="104775"/>
                  <wp:effectExtent l="0" t="0" r="9525" b="9525"/>
                  <wp:docPr id="1249" name="image127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79.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6CFAACA7" wp14:editId="67BE7289">
                  <wp:extent cx="133350" cy="104775"/>
                  <wp:effectExtent l="0" t="0" r="0" b="9525"/>
                  <wp:docPr id="1300" name="image88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83.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103CD2F4" wp14:editId="0875A4AC">
                  <wp:extent cx="104775" cy="104775"/>
                  <wp:effectExtent l="0" t="0" r="9525" b="9525"/>
                  <wp:docPr id="250" name="image28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80.png" title="Civics and citizenship icon"/>
                          <pic:cNvPicPr preferRelativeResize="0"/>
                        </pic:nvPicPr>
                        <pic:blipFill>
                          <a:blip r:embed="rId16"/>
                          <a:srcRect/>
                          <a:stretch>
                            <a:fillRect/>
                          </a:stretch>
                        </pic:blipFill>
                        <pic:spPr>
                          <a:xfrm>
                            <a:off x="0" y="0"/>
                            <a:ext cx="104775" cy="104775"/>
                          </a:xfrm>
                          <a:prstGeom prst="rect">
                            <a:avLst/>
                          </a:prstGeom>
                          <a:ln/>
                        </pic:spPr>
                      </pic:pic>
                    </a:graphicData>
                  </a:graphic>
                </wp:inline>
              </w:drawing>
            </w:r>
          </w:p>
          <w:p w:rsidR="00403107" w:rsidRDefault="00403107" w:rsidP="00403107">
            <w:pPr>
              <w:rPr>
                <w:sz w:val="22"/>
              </w:rPr>
            </w:pPr>
          </w:p>
          <w:p w:rsidR="00403107" w:rsidRPr="00103A22" w:rsidRDefault="00403107" w:rsidP="00D644B1">
            <w:pPr>
              <w:numPr>
                <w:ilvl w:val="0"/>
                <w:numId w:val="1"/>
              </w:numPr>
              <w:ind w:left="360" w:hanging="360"/>
              <w:rPr>
                <w:sz w:val="22"/>
              </w:rPr>
            </w:pPr>
            <w:r w:rsidRPr="00403107">
              <w:rPr>
                <w:sz w:val="22"/>
              </w:rPr>
              <w:t xml:space="preserve">Communicate historical understanding, using historical knowledge, concepts and terms, in forms appropriate to purpose and audience (ACHMH014) </w:t>
            </w:r>
            <w:r w:rsidRPr="00403107">
              <w:rPr>
                <w:noProof/>
                <w:sz w:val="22"/>
                <w:lang w:eastAsia="en-AU"/>
              </w:rPr>
              <w:drawing>
                <wp:inline distT="114300" distB="114300" distL="114300" distR="114300" wp14:anchorId="243B1FA5" wp14:editId="0B39C986">
                  <wp:extent cx="123825" cy="104775"/>
                  <wp:effectExtent l="0" t="0" r="9525" b="9525"/>
                  <wp:docPr id="24" name="image131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17.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42F4BF38" wp14:editId="4258A142">
                  <wp:extent cx="133350" cy="104775"/>
                  <wp:effectExtent l="0" t="0" r="0" b="9525"/>
                  <wp:docPr id="25"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5D2F399E" wp14:editId="77C237AA">
                  <wp:extent cx="104775" cy="104775"/>
                  <wp:effectExtent l="0" t="0" r="9525" b="9525"/>
                  <wp:docPr id="26" name="image128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85.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70DE69B8" wp14:editId="1F8AA684">
                  <wp:extent cx="133350" cy="104775"/>
                  <wp:effectExtent l="0" t="0" r="0" b="9525"/>
                  <wp:docPr id="27" name="image125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255.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2522D45F" wp14:editId="4439FFC0">
                  <wp:extent cx="66675" cy="104775"/>
                  <wp:effectExtent l="0" t="0" r="9525" b="9525"/>
                  <wp:docPr id="28" name="image14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437.png" title="Difference and diversity icon"/>
                          <pic:cNvPicPr preferRelativeResize="0"/>
                        </pic:nvPicPr>
                        <pic:blipFill>
                          <a:blip r:embed="rId13"/>
                          <a:srcRect/>
                          <a:stretch>
                            <a:fillRect/>
                          </a:stretch>
                        </pic:blipFill>
                        <pic:spPr>
                          <a:xfrm>
                            <a:off x="0" y="0"/>
                            <a:ext cx="66675" cy="104775"/>
                          </a:xfrm>
                          <a:prstGeom prst="rect">
                            <a:avLst/>
                          </a:prstGeom>
                          <a:ln/>
                        </pic:spPr>
                      </pic:pic>
                    </a:graphicData>
                  </a:graphic>
                </wp:inline>
              </w:drawing>
            </w:r>
          </w:p>
        </w:tc>
        <w:tc>
          <w:tcPr>
            <w:tcW w:w="7461" w:type="dxa"/>
            <w:tcMar>
              <w:top w:w="57" w:type="dxa"/>
              <w:left w:w="57" w:type="dxa"/>
              <w:bottom w:w="57" w:type="dxa"/>
              <w:right w:w="57" w:type="dxa"/>
            </w:tcMar>
          </w:tcPr>
          <w:p w:rsidR="00E55DCF" w:rsidRPr="00AC4419" w:rsidRDefault="00924BDF" w:rsidP="000E5B87">
            <w:pPr>
              <w:numPr>
                <w:ilvl w:val="0"/>
                <w:numId w:val="19"/>
              </w:numPr>
              <w:ind w:left="360" w:hanging="360"/>
              <w:rPr>
                <w:sz w:val="22"/>
              </w:rPr>
            </w:pPr>
            <w:r w:rsidRPr="00AC4419">
              <w:rPr>
                <w:sz w:val="22"/>
              </w:rPr>
              <w:t xml:space="preserve">Students find examples of </w:t>
            </w:r>
            <w:r w:rsidR="00E55DCF" w:rsidRPr="00AC4419">
              <w:rPr>
                <w:sz w:val="22"/>
              </w:rPr>
              <w:t xml:space="preserve">particular aspects of the past </w:t>
            </w:r>
            <w:r w:rsidR="000E5B87" w:rsidRPr="00AC4419">
              <w:rPr>
                <w:sz w:val="22"/>
              </w:rPr>
              <w:t xml:space="preserve">that </w:t>
            </w:r>
            <w:r w:rsidR="00E55DCF" w:rsidRPr="00AC4419">
              <w:rPr>
                <w:sz w:val="22"/>
              </w:rPr>
              <w:t>are</w:t>
            </w:r>
            <w:r w:rsidRPr="00AC4419">
              <w:rPr>
                <w:sz w:val="22"/>
              </w:rPr>
              <w:t xml:space="preserve"> represented </w:t>
            </w:r>
            <w:r w:rsidR="00E55DCF" w:rsidRPr="00AC4419">
              <w:rPr>
                <w:sz w:val="22"/>
              </w:rPr>
              <w:t xml:space="preserve">and commemorated </w:t>
            </w:r>
            <w:r w:rsidRPr="00AC4419">
              <w:rPr>
                <w:sz w:val="22"/>
              </w:rPr>
              <w:t>in their</w:t>
            </w:r>
            <w:r w:rsidR="00E55DCF" w:rsidRPr="00AC4419">
              <w:rPr>
                <w:sz w:val="22"/>
              </w:rPr>
              <w:t xml:space="preserve"> </w:t>
            </w:r>
            <w:r w:rsidRPr="00AC4419">
              <w:rPr>
                <w:sz w:val="22"/>
              </w:rPr>
              <w:t>school</w:t>
            </w:r>
            <w:r w:rsidR="00AC4419" w:rsidRPr="00AC4419">
              <w:rPr>
                <w:sz w:val="22"/>
              </w:rPr>
              <w:t xml:space="preserve"> or</w:t>
            </w:r>
            <w:r w:rsidR="00E55DCF" w:rsidRPr="00AC4419">
              <w:rPr>
                <w:sz w:val="22"/>
              </w:rPr>
              <w:t xml:space="preserve"> local </w:t>
            </w:r>
            <w:r w:rsidRPr="00AC4419">
              <w:rPr>
                <w:sz w:val="22"/>
              </w:rPr>
              <w:t>community.</w:t>
            </w:r>
            <w:r w:rsidR="00AC4419" w:rsidRPr="00AC4419">
              <w:rPr>
                <w:sz w:val="22"/>
              </w:rPr>
              <w:t xml:space="preserve"> Information may be</w:t>
            </w:r>
            <w:r w:rsidR="00E55DCF" w:rsidRPr="00AC4419">
              <w:rPr>
                <w:sz w:val="22"/>
              </w:rPr>
              <w:t xml:space="preserve"> access</w:t>
            </w:r>
            <w:r w:rsidR="00AC4419">
              <w:rPr>
                <w:sz w:val="22"/>
              </w:rPr>
              <w:t>ed</w:t>
            </w:r>
            <w:r w:rsidR="00E55DCF" w:rsidRPr="00AC4419">
              <w:rPr>
                <w:sz w:val="22"/>
              </w:rPr>
              <w:t xml:space="preserve"> through a site study, local council websites, or </w:t>
            </w:r>
            <w:r w:rsidR="00AC4419">
              <w:rPr>
                <w:sz w:val="22"/>
              </w:rPr>
              <w:t xml:space="preserve">specific websites such as </w:t>
            </w:r>
            <w:r w:rsidR="00E55DCF" w:rsidRPr="00AC4419">
              <w:rPr>
                <w:sz w:val="22"/>
              </w:rPr>
              <w:t xml:space="preserve">the Register of War Memorials in NSW, available at </w:t>
            </w:r>
            <w:hyperlink r:id="rId17" w:history="1">
              <w:r w:rsidR="00E55DCF" w:rsidRPr="00AC4419">
                <w:rPr>
                  <w:rStyle w:val="Hyperlink"/>
                  <w:sz w:val="22"/>
                </w:rPr>
                <w:t>https://www.warmemorialsregister.nsw.gov.au/</w:t>
              </w:r>
            </w:hyperlink>
            <w:r w:rsidR="00E55DCF" w:rsidRPr="00AC4419">
              <w:rPr>
                <w:sz w:val="22"/>
              </w:rPr>
              <w:t xml:space="preserve"> </w:t>
            </w:r>
          </w:p>
          <w:p w:rsidR="00E55DCF" w:rsidRPr="00E55DCF" w:rsidRDefault="00E55DCF" w:rsidP="00E55DCF">
            <w:pPr>
              <w:numPr>
                <w:ilvl w:val="0"/>
                <w:numId w:val="19"/>
              </w:numPr>
              <w:ind w:left="360" w:hanging="360"/>
              <w:rPr>
                <w:sz w:val="22"/>
              </w:rPr>
            </w:pPr>
            <w:r>
              <w:rPr>
                <w:sz w:val="22"/>
              </w:rPr>
              <w:t xml:space="preserve">For one of the examples selected, students investigate </w:t>
            </w:r>
            <w:r w:rsidR="00AC4419">
              <w:rPr>
                <w:sz w:val="22"/>
              </w:rPr>
              <w:t>how and why their chosen aspect of the past is commemorated.</w:t>
            </w:r>
            <w:r>
              <w:rPr>
                <w:sz w:val="22"/>
              </w:rPr>
              <w:t xml:space="preserve"> </w:t>
            </w:r>
          </w:p>
          <w:p w:rsidR="00924BDF" w:rsidRDefault="00924BDF" w:rsidP="00924BDF">
            <w:pPr>
              <w:rPr>
                <w:b/>
                <w:sz w:val="22"/>
              </w:rPr>
            </w:pPr>
          </w:p>
          <w:p w:rsidR="00924BDF" w:rsidRPr="00C07E1B" w:rsidRDefault="00924BDF" w:rsidP="00924BDF">
            <w:pPr>
              <w:rPr>
                <w:b/>
                <w:sz w:val="22"/>
              </w:rPr>
            </w:pPr>
            <w:r>
              <w:rPr>
                <w:b/>
                <w:sz w:val="22"/>
              </w:rPr>
              <w:t>Assessment as</w:t>
            </w:r>
            <w:r w:rsidRPr="00C07E1B">
              <w:rPr>
                <w:b/>
                <w:sz w:val="22"/>
              </w:rPr>
              <w:t xml:space="preserve"> learning</w:t>
            </w:r>
          </w:p>
          <w:p w:rsidR="00924BDF" w:rsidRDefault="00924BDF" w:rsidP="00924BDF">
            <w:pPr>
              <w:numPr>
                <w:ilvl w:val="0"/>
                <w:numId w:val="19"/>
              </w:numPr>
              <w:ind w:left="360" w:hanging="360"/>
              <w:rPr>
                <w:sz w:val="22"/>
              </w:rPr>
            </w:pPr>
            <w:r>
              <w:rPr>
                <w:sz w:val="22"/>
              </w:rPr>
              <w:t xml:space="preserve">Students </w:t>
            </w:r>
            <w:r w:rsidR="000E5B87">
              <w:rPr>
                <w:sz w:val="22"/>
              </w:rPr>
              <w:t xml:space="preserve">select one historical event or person, and </w:t>
            </w:r>
            <w:r>
              <w:rPr>
                <w:sz w:val="22"/>
              </w:rPr>
              <w:t>investigate how one of the following mediums represents a particular aspect of the past:</w:t>
            </w:r>
          </w:p>
          <w:p w:rsidR="00924BDF" w:rsidRDefault="00924BDF" w:rsidP="00924BDF">
            <w:pPr>
              <w:pStyle w:val="ListParagraph"/>
              <w:numPr>
                <w:ilvl w:val="0"/>
                <w:numId w:val="21"/>
              </w:numPr>
              <w:rPr>
                <w:sz w:val="22"/>
              </w:rPr>
            </w:pPr>
            <w:r>
              <w:rPr>
                <w:sz w:val="22"/>
              </w:rPr>
              <w:t>memorial</w:t>
            </w:r>
          </w:p>
          <w:p w:rsidR="00924BDF" w:rsidRDefault="00924BDF" w:rsidP="00924BDF">
            <w:pPr>
              <w:pStyle w:val="ListParagraph"/>
              <w:numPr>
                <w:ilvl w:val="0"/>
                <w:numId w:val="21"/>
              </w:numPr>
              <w:rPr>
                <w:sz w:val="22"/>
              </w:rPr>
            </w:pPr>
            <w:r>
              <w:rPr>
                <w:sz w:val="22"/>
              </w:rPr>
              <w:t>museum</w:t>
            </w:r>
          </w:p>
          <w:p w:rsidR="00924BDF" w:rsidRDefault="00924BDF" w:rsidP="00924BDF">
            <w:pPr>
              <w:pStyle w:val="ListParagraph"/>
              <w:numPr>
                <w:ilvl w:val="0"/>
                <w:numId w:val="21"/>
              </w:numPr>
              <w:rPr>
                <w:sz w:val="22"/>
              </w:rPr>
            </w:pPr>
            <w:r>
              <w:rPr>
                <w:sz w:val="22"/>
              </w:rPr>
              <w:t>media</w:t>
            </w:r>
          </w:p>
          <w:p w:rsidR="00924BDF" w:rsidRDefault="00924BDF" w:rsidP="00924BDF">
            <w:pPr>
              <w:pStyle w:val="ListParagraph"/>
              <w:numPr>
                <w:ilvl w:val="0"/>
                <w:numId w:val="21"/>
              </w:numPr>
              <w:rPr>
                <w:sz w:val="22"/>
              </w:rPr>
            </w:pPr>
            <w:r>
              <w:rPr>
                <w:sz w:val="22"/>
              </w:rPr>
              <w:t>film</w:t>
            </w:r>
          </w:p>
          <w:p w:rsidR="00924BDF" w:rsidRDefault="00924BDF" w:rsidP="00924BDF">
            <w:pPr>
              <w:pStyle w:val="ListParagraph"/>
              <w:numPr>
                <w:ilvl w:val="0"/>
                <w:numId w:val="21"/>
              </w:numPr>
              <w:rPr>
                <w:sz w:val="22"/>
              </w:rPr>
            </w:pPr>
            <w:r>
              <w:rPr>
                <w:sz w:val="22"/>
              </w:rPr>
              <w:t>documentary</w:t>
            </w:r>
          </w:p>
          <w:p w:rsidR="00924BDF" w:rsidRDefault="00924BDF" w:rsidP="00924BDF">
            <w:pPr>
              <w:pStyle w:val="ListParagraph"/>
              <w:numPr>
                <w:ilvl w:val="0"/>
                <w:numId w:val="21"/>
              </w:numPr>
              <w:rPr>
                <w:sz w:val="22"/>
              </w:rPr>
            </w:pPr>
            <w:proofErr w:type="gramStart"/>
            <w:r w:rsidRPr="009A2FA0">
              <w:rPr>
                <w:sz w:val="22"/>
              </w:rPr>
              <w:t>online</w:t>
            </w:r>
            <w:proofErr w:type="gramEnd"/>
            <w:r w:rsidRPr="009A2FA0">
              <w:rPr>
                <w:sz w:val="22"/>
              </w:rPr>
              <w:t>.</w:t>
            </w:r>
          </w:p>
          <w:p w:rsidR="00924BDF" w:rsidRDefault="00924BDF" w:rsidP="00924BDF">
            <w:pPr>
              <w:ind w:left="360"/>
              <w:rPr>
                <w:sz w:val="22"/>
              </w:rPr>
            </w:pPr>
            <w:r>
              <w:rPr>
                <w:sz w:val="22"/>
              </w:rPr>
              <w:t>Students may select one particular example, for instance, a museum</w:t>
            </w:r>
            <w:r w:rsidR="00B651E4">
              <w:rPr>
                <w:sz w:val="22"/>
              </w:rPr>
              <w:t xml:space="preserve"> or</w:t>
            </w:r>
            <w:r>
              <w:rPr>
                <w:sz w:val="22"/>
              </w:rPr>
              <w:t xml:space="preserve"> film of their choice </w:t>
            </w:r>
            <w:r w:rsidR="00B651E4">
              <w:rPr>
                <w:sz w:val="22"/>
              </w:rPr>
              <w:t>as a focus for</w:t>
            </w:r>
            <w:r>
              <w:rPr>
                <w:sz w:val="22"/>
              </w:rPr>
              <w:t xml:space="preserve"> research. </w:t>
            </w:r>
          </w:p>
          <w:p w:rsidR="00CB0E25" w:rsidRPr="009A2FA0" w:rsidRDefault="00924BDF" w:rsidP="00AC4419">
            <w:pPr>
              <w:ind w:left="360"/>
              <w:rPr>
                <w:sz w:val="22"/>
              </w:rPr>
            </w:pPr>
            <w:r>
              <w:rPr>
                <w:sz w:val="22"/>
              </w:rPr>
              <w:t>Using their research, students develop a review of their chosen medium to present to their group of peers. A teacher-developed peer review sheet is completed by the other members of the group, providing feedback.</w:t>
            </w:r>
          </w:p>
        </w:tc>
        <w:tc>
          <w:tcPr>
            <w:tcW w:w="3508" w:type="dxa"/>
            <w:tcMar>
              <w:top w:w="57" w:type="dxa"/>
              <w:left w:w="57" w:type="dxa"/>
              <w:bottom w:w="57" w:type="dxa"/>
              <w:right w:w="57" w:type="dxa"/>
            </w:tcMar>
          </w:tcPr>
          <w:p w:rsidR="006052F0" w:rsidRDefault="006052F0" w:rsidP="006052F0">
            <w:pPr>
              <w:rPr>
                <w:rFonts w:cs="Arial"/>
                <w:b/>
                <w:sz w:val="22"/>
              </w:rPr>
            </w:pPr>
            <w:r w:rsidRPr="006052F0">
              <w:rPr>
                <w:rFonts w:cs="Arial"/>
                <w:b/>
                <w:sz w:val="22"/>
              </w:rPr>
              <w:t>Structured</w:t>
            </w:r>
          </w:p>
          <w:p w:rsidR="00A31A32" w:rsidRPr="00602221" w:rsidRDefault="006052F0" w:rsidP="000B2AF2">
            <w:pPr>
              <w:rPr>
                <w:rFonts w:cs="Arial"/>
                <w:sz w:val="22"/>
              </w:rPr>
            </w:pPr>
            <w:r w:rsidRPr="006052F0">
              <w:rPr>
                <w:rFonts w:cs="Arial"/>
                <w:sz w:val="22"/>
              </w:rPr>
              <w:t>Student</w:t>
            </w:r>
            <w:r>
              <w:rPr>
                <w:rFonts w:cs="Arial"/>
                <w:sz w:val="22"/>
              </w:rPr>
              <w:t>s are provided with examples of the commemoration of the past in their school or local community.</w:t>
            </w:r>
          </w:p>
        </w:tc>
      </w:tr>
      <w:tr w:rsidR="00AC4419" w:rsidRPr="00433F57" w:rsidTr="00AC4419">
        <w:trPr>
          <w:trHeight w:val="15"/>
        </w:trPr>
        <w:tc>
          <w:tcPr>
            <w:tcW w:w="4431" w:type="dxa"/>
            <w:tcMar>
              <w:top w:w="57" w:type="dxa"/>
              <w:left w:w="57" w:type="dxa"/>
              <w:bottom w:w="57" w:type="dxa"/>
              <w:right w:w="57" w:type="dxa"/>
            </w:tcMar>
          </w:tcPr>
          <w:p w:rsidR="00403107" w:rsidRDefault="00403107" w:rsidP="00403107">
            <w:pPr>
              <w:numPr>
                <w:ilvl w:val="0"/>
                <w:numId w:val="19"/>
              </w:numPr>
              <w:ind w:left="360" w:hanging="360"/>
              <w:rPr>
                <w:sz w:val="22"/>
              </w:rPr>
            </w:pPr>
            <w:r w:rsidRPr="00403107">
              <w:rPr>
                <w:sz w:val="22"/>
              </w:rPr>
              <w:lastRenderedPageBreak/>
              <w:t xml:space="preserve">Identify and analyse problems relating to sources in the investigation of the past (ACHMH011) </w:t>
            </w:r>
            <w:r w:rsidRPr="00403107">
              <w:rPr>
                <w:noProof/>
                <w:sz w:val="22"/>
                <w:lang w:eastAsia="en-AU"/>
              </w:rPr>
              <w:drawing>
                <wp:inline distT="114300" distB="114300" distL="114300" distR="114300" wp14:anchorId="00154E48" wp14:editId="4C68D85A">
                  <wp:extent cx="123825" cy="104775"/>
                  <wp:effectExtent l="0" t="0" r="9525" b="9525"/>
                  <wp:docPr id="21" name="image70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08.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403107">
              <w:rPr>
                <w:sz w:val="22"/>
              </w:rPr>
              <w:t xml:space="preserve"> </w:t>
            </w:r>
          </w:p>
          <w:p w:rsidR="00403107" w:rsidRPr="00403107" w:rsidRDefault="00403107" w:rsidP="00403107">
            <w:pPr>
              <w:numPr>
                <w:ilvl w:val="0"/>
                <w:numId w:val="19"/>
              </w:numPr>
              <w:ind w:left="360" w:hanging="360"/>
              <w:rPr>
                <w:sz w:val="22"/>
              </w:rPr>
            </w:pPr>
            <w:r w:rsidRPr="00403107">
              <w:rPr>
                <w:sz w:val="22"/>
              </w:rPr>
              <w:t xml:space="preserve">Use evidence from a range of sources to inform investigation and research (ACHMH005) </w:t>
            </w:r>
            <w:r w:rsidRPr="00403107">
              <w:rPr>
                <w:noProof/>
                <w:sz w:val="22"/>
                <w:lang w:eastAsia="en-AU"/>
              </w:rPr>
              <w:drawing>
                <wp:inline distT="114300" distB="114300" distL="114300" distR="114300" wp14:anchorId="6D40D760" wp14:editId="6B936DD1">
                  <wp:extent cx="133350" cy="104775"/>
                  <wp:effectExtent l="0" t="0" r="0" b="9525"/>
                  <wp:docPr id="22"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11E8D301" wp14:editId="2BF38C61">
                  <wp:extent cx="133350" cy="104775"/>
                  <wp:effectExtent l="0" t="0" r="0" b="9525"/>
                  <wp:docPr id="23" name="image92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26.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AC4419" w:rsidRPr="00103A22" w:rsidRDefault="00AC4419" w:rsidP="00AC4419">
            <w:pPr>
              <w:rPr>
                <w:sz w:val="22"/>
              </w:rPr>
            </w:pPr>
          </w:p>
        </w:tc>
        <w:tc>
          <w:tcPr>
            <w:tcW w:w="7461" w:type="dxa"/>
            <w:tcMar>
              <w:top w:w="57" w:type="dxa"/>
              <w:left w:w="57" w:type="dxa"/>
              <w:bottom w:w="57" w:type="dxa"/>
              <w:right w:w="57" w:type="dxa"/>
            </w:tcMar>
          </w:tcPr>
          <w:p w:rsidR="00AC4419" w:rsidRDefault="00AC4419" w:rsidP="00A31A32">
            <w:pPr>
              <w:numPr>
                <w:ilvl w:val="0"/>
                <w:numId w:val="19"/>
              </w:numPr>
              <w:ind w:left="360" w:hanging="360"/>
              <w:rPr>
                <w:sz w:val="22"/>
              </w:rPr>
            </w:pPr>
            <w:r>
              <w:rPr>
                <w:sz w:val="22"/>
              </w:rPr>
              <w:t xml:space="preserve">Students are provided with a range of quotes relating to the </w:t>
            </w:r>
            <w:proofErr w:type="spellStart"/>
            <w:r>
              <w:rPr>
                <w:sz w:val="22"/>
              </w:rPr>
              <w:t>Yasukuni</w:t>
            </w:r>
            <w:proofErr w:type="spellEnd"/>
            <w:r>
              <w:rPr>
                <w:sz w:val="22"/>
              </w:rPr>
              <w:t xml:space="preserve"> Shrine. These may be collected from a variety of locations, </w:t>
            </w:r>
            <w:proofErr w:type="spellStart"/>
            <w:r w:rsidR="00B651E4">
              <w:rPr>
                <w:sz w:val="22"/>
              </w:rPr>
              <w:t>eg</w:t>
            </w:r>
            <w:proofErr w:type="spellEnd"/>
            <w:r w:rsidR="00B651E4">
              <w:rPr>
                <w:sz w:val="22"/>
              </w:rPr>
              <w:t>.</w:t>
            </w:r>
            <w:r>
              <w:rPr>
                <w:sz w:val="22"/>
              </w:rPr>
              <w:t xml:space="preserve"> </w:t>
            </w:r>
            <w:proofErr w:type="gramStart"/>
            <w:r>
              <w:rPr>
                <w:sz w:val="22"/>
              </w:rPr>
              <w:t>the</w:t>
            </w:r>
            <w:proofErr w:type="gramEnd"/>
            <w:r>
              <w:rPr>
                <w:sz w:val="22"/>
              </w:rPr>
              <w:t xml:space="preserve"> Google Maps reviews available online. Teachers should ensure that appropriate quotes/reviews are presented to students.</w:t>
            </w:r>
          </w:p>
          <w:p w:rsidR="00AC4419" w:rsidRDefault="00AC4419" w:rsidP="00A31A32">
            <w:pPr>
              <w:numPr>
                <w:ilvl w:val="0"/>
                <w:numId w:val="19"/>
              </w:numPr>
              <w:ind w:left="360" w:hanging="360"/>
              <w:rPr>
                <w:sz w:val="22"/>
              </w:rPr>
            </w:pPr>
            <w:r w:rsidRPr="00CB0E25">
              <w:rPr>
                <w:sz w:val="22"/>
              </w:rPr>
              <w:t>Students are presented with a range of news articles that comment on the shrine and political involvement. Students develop a brief response in which they consider how Japanese military history is represented.</w:t>
            </w:r>
          </w:p>
          <w:p w:rsidR="00AC4419" w:rsidRDefault="00AC4419" w:rsidP="00CA74B0">
            <w:pPr>
              <w:ind w:left="360"/>
              <w:rPr>
                <w:sz w:val="22"/>
              </w:rPr>
            </w:pPr>
            <w:r>
              <w:rPr>
                <w:sz w:val="22"/>
              </w:rPr>
              <w:t>OR</w:t>
            </w:r>
          </w:p>
          <w:p w:rsidR="00AC4419" w:rsidRPr="00CB0E25" w:rsidRDefault="00AC4419" w:rsidP="00A31A32">
            <w:pPr>
              <w:numPr>
                <w:ilvl w:val="0"/>
                <w:numId w:val="19"/>
              </w:numPr>
              <w:ind w:left="360" w:hanging="360"/>
              <w:rPr>
                <w:sz w:val="22"/>
              </w:rPr>
            </w:pPr>
            <w:r>
              <w:rPr>
                <w:sz w:val="22"/>
              </w:rPr>
              <w:t xml:space="preserve">Students conduct an investigation into the public response following Prime Minister Yasuhiro Nakasone’s official visit to the shrine in 1985. </w:t>
            </w:r>
          </w:p>
          <w:p w:rsidR="00AC4419" w:rsidRDefault="00AC4419" w:rsidP="00A31A32">
            <w:pPr>
              <w:numPr>
                <w:ilvl w:val="0"/>
                <w:numId w:val="19"/>
              </w:numPr>
              <w:ind w:left="360" w:hanging="360"/>
              <w:rPr>
                <w:sz w:val="22"/>
              </w:rPr>
            </w:pPr>
            <w:r>
              <w:rPr>
                <w:sz w:val="22"/>
              </w:rPr>
              <w:t xml:space="preserve">Students investigate the history of the shrine, researching its role in Japanese society, and the concept of </w:t>
            </w:r>
            <w:r w:rsidRPr="002059D0">
              <w:rPr>
                <w:i/>
                <w:sz w:val="22"/>
              </w:rPr>
              <w:t>‘kami’</w:t>
            </w:r>
            <w:r>
              <w:rPr>
                <w:i/>
                <w:sz w:val="22"/>
              </w:rPr>
              <w:t xml:space="preserve"> </w:t>
            </w:r>
            <w:r w:rsidRPr="000B2AF2">
              <w:rPr>
                <w:sz w:val="22"/>
              </w:rPr>
              <w:t>in the Shinto faith.</w:t>
            </w:r>
          </w:p>
          <w:p w:rsidR="00AC4419" w:rsidRDefault="00AC4419" w:rsidP="00A31A32">
            <w:pPr>
              <w:numPr>
                <w:ilvl w:val="0"/>
                <w:numId w:val="19"/>
              </w:numPr>
              <w:ind w:left="360" w:hanging="360"/>
              <w:rPr>
                <w:sz w:val="22"/>
              </w:rPr>
            </w:pPr>
            <w:r>
              <w:rPr>
                <w:sz w:val="22"/>
              </w:rPr>
              <w:t>Students investigate the issues relating to the existence of the shrine, such as:</w:t>
            </w:r>
          </w:p>
          <w:p w:rsidR="00AC4419" w:rsidRDefault="00AC4419" w:rsidP="00AB373D">
            <w:pPr>
              <w:numPr>
                <w:ilvl w:val="0"/>
                <w:numId w:val="27"/>
              </w:numPr>
              <w:rPr>
                <w:sz w:val="22"/>
              </w:rPr>
            </w:pPr>
            <w:r>
              <w:rPr>
                <w:sz w:val="22"/>
              </w:rPr>
              <w:t>the connection between religion and politics</w:t>
            </w:r>
          </w:p>
          <w:p w:rsidR="00AC4419" w:rsidRDefault="00AC4419" w:rsidP="000B2AF2">
            <w:pPr>
              <w:numPr>
                <w:ilvl w:val="0"/>
                <w:numId w:val="27"/>
              </w:numPr>
              <w:rPr>
                <w:sz w:val="22"/>
              </w:rPr>
            </w:pPr>
            <w:proofErr w:type="gramStart"/>
            <w:r>
              <w:rPr>
                <w:sz w:val="22"/>
              </w:rPr>
              <w:t>the</w:t>
            </w:r>
            <w:proofErr w:type="gramEnd"/>
            <w:r>
              <w:rPr>
                <w:sz w:val="22"/>
              </w:rPr>
              <w:t xml:space="preserve"> commemoration of a militaristic past.</w:t>
            </w:r>
          </w:p>
          <w:p w:rsidR="00AC4419" w:rsidRDefault="00AC4419" w:rsidP="00AC4419">
            <w:pPr>
              <w:numPr>
                <w:ilvl w:val="0"/>
                <w:numId w:val="19"/>
              </w:numPr>
              <w:ind w:left="360" w:hanging="360"/>
              <w:rPr>
                <w:sz w:val="22"/>
              </w:rPr>
            </w:pPr>
            <w:r>
              <w:rPr>
                <w:sz w:val="22"/>
              </w:rPr>
              <w:t>Students conduct research into the wartime actions of one of the 14 ‘Class A’ war criminals named at the shrine, and engage in a class discussion regarding the appropriateness of their inclusion.</w:t>
            </w:r>
          </w:p>
          <w:p w:rsidR="00AC4419" w:rsidRDefault="00AC4419" w:rsidP="000B2AF2">
            <w:pPr>
              <w:numPr>
                <w:ilvl w:val="0"/>
                <w:numId w:val="19"/>
              </w:numPr>
              <w:ind w:left="360" w:hanging="360"/>
              <w:rPr>
                <w:sz w:val="22"/>
              </w:rPr>
            </w:pPr>
            <w:r>
              <w:rPr>
                <w:sz w:val="22"/>
              </w:rPr>
              <w:t xml:space="preserve">Students consider the </w:t>
            </w:r>
            <w:r w:rsidR="00B651E4">
              <w:rPr>
                <w:sz w:val="22"/>
              </w:rPr>
              <w:t xml:space="preserve">possible </w:t>
            </w:r>
            <w:bookmarkStart w:id="0" w:name="_GoBack"/>
            <w:bookmarkEnd w:id="0"/>
            <w:r>
              <w:rPr>
                <w:sz w:val="22"/>
              </w:rPr>
              <w:t>significance of the shrine from a range of perspectives, such as a:</w:t>
            </w:r>
          </w:p>
          <w:p w:rsidR="00AC4419" w:rsidRDefault="00AC4419" w:rsidP="00425DEF">
            <w:pPr>
              <w:numPr>
                <w:ilvl w:val="0"/>
                <w:numId w:val="27"/>
              </w:numPr>
              <w:ind w:left="332" w:firstLine="28"/>
              <w:rPr>
                <w:sz w:val="22"/>
              </w:rPr>
            </w:pPr>
            <w:r>
              <w:rPr>
                <w:sz w:val="22"/>
              </w:rPr>
              <w:t xml:space="preserve">descendant of a Japanese soldier who fought during the Meiji </w:t>
            </w:r>
          </w:p>
          <w:p w:rsidR="00AC4419" w:rsidRDefault="00AC4419" w:rsidP="00425DEF">
            <w:pPr>
              <w:ind w:left="360"/>
              <w:rPr>
                <w:sz w:val="22"/>
              </w:rPr>
            </w:pPr>
            <w:r>
              <w:rPr>
                <w:sz w:val="22"/>
              </w:rPr>
              <w:tab/>
              <w:t>Restoration</w:t>
            </w:r>
          </w:p>
          <w:p w:rsidR="00AC4419" w:rsidRDefault="00AC4419" w:rsidP="000B2AF2">
            <w:pPr>
              <w:numPr>
                <w:ilvl w:val="0"/>
                <w:numId w:val="27"/>
              </w:numPr>
              <w:rPr>
                <w:sz w:val="22"/>
              </w:rPr>
            </w:pPr>
            <w:r>
              <w:rPr>
                <w:sz w:val="22"/>
              </w:rPr>
              <w:t>descendant of a Chinese civilian who was involved in World War II</w:t>
            </w:r>
          </w:p>
          <w:p w:rsidR="00AC4419" w:rsidRDefault="00AC4419" w:rsidP="009A2FA0">
            <w:pPr>
              <w:numPr>
                <w:ilvl w:val="0"/>
                <w:numId w:val="27"/>
              </w:numPr>
              <w:rPr>
                <w:sz w:val="22"/>
              </w:rPr>
            </w:pPr>
            <w:r>
              <w:rPr>
                <w:sz w:val="22"/>
              </w:rPr>
              <w:t xml:space="preserve">descendant of a Korean soldier who had been drafted into the </w:t>
            </w:r>
            <w:r>
              <w:rPr>
                <w:sz w:val="22"/>
              </w:rPr>
              <w:tab/>
              <w:t>Japanese army</w:t>
            </w:r>
          </w:p>
          <w:p w:rsidR="00AC4419" w:rsidRPr="00AC4419" w:rsidRDefault="00AC4419" w:rsidP="009A2FA0">
            <w:pPr>
              <w:numPr>
                <w:ilvl w:val="0"/>
                <w:numId w:val="27"/>
              </w:numPr>
              <w:rPr>
                <w:sz w:val="22"/>
              </w:rPr>
            </w:pPr>
            <w:r>
              <w:rPr>
                <w:sz w:val="22"/>
              </w:rPr>
              <w:t>Japanese politician.</w:t>
            </w:r>
          </w:p>
        </w:tc>
        <w:tc>
          <w:tcPr>
            <w:tcW w:w="3508" w:type="dxa"/>
            <w:tcMar>
              <w:top w:w="57" w:type="dxa"/>
              <w:left w:w="57" w:type="dxa"/>
              <w:bottom w:w="57" w:type="dxa"/>
              <w:right w:w="57" w:type="dxa"/>
            </w:tcMar>
          </w:tcPr>
          <w:p w:rsidR="00602221" w:rsidRDefault="00602221" w:rsidP="00602221">
            <w:pPr>
              <w:rPr>
                <w:rFonts w:cs="Arial"/>
                <w:b/>
                <w:sz w:val="22"/>
              </w:rPr>
            </w:pPr>
            <w:r w:rsidRPr="006052F0">
              <w:rPr>
                <w:rFonts w:cs="Arial"/>
                <w:b/>
                <w:sz w:val="22"/>
              </w:rPr>
              <w:t>Structured</w:t>
            </w:r>
          </w:p>
          <w:p w:rsidR="00AC4419" w:rsidRDefault="00602221" w:rsidP="00B651E4">
            <w:pPr>
              <w:rPr>
                <w:rFonts w:cs="Arial"/>
                <w:sz w:val="22"/>
              </w:rPr>
            </w:pPr>
            <w:r>
              <w:rPr>
                <w:rFonts w:cs="Arial"/>
                <w:sz w:val="22"/>
              </w:rPr>
              <w:t xml:space="preserve">Students conduct a virtual tour of the </w:t>
            </w:r>
            <w:proofErr w:type="spellStart"/>
            <w:r>
              <w:rPr>
                <w:rFonts w:cs="Arial"/>
                <w:sz w:val="22"/>
              </w:rPr>
              <w:t>Yasukuni</w:t>
            </w:r>
            <w:proofErr w:type="spellEnd"/>
            <w:r>
              <w:rPr>
                <w:rFonts w:cs="Arial"/>
                <w:sz w:val="22"/>
              </w:rPr>
              <w:t xml:space="preserve"> Shrine and surrounding facilities using Google Maps, to develop a guided tour of the </w:t>
            </w:r>
            <w:r w:rsidR="00B651E4">
              <w:rPr>
                <w:rFonts w:cs="Arial"/>
                <w:sz w:val="22"/>
              </w:rPr>
              <w:t>site</w:t>
            </w:r>
            <w:r>
              <w:rPr>
                <w:rFonts w:cs="Arial"/>
                <w:sz w:val="22"/>
              </w:rPr>
              <w:t xml:space="preserve">. </w:t>
            </w:r>
          </w:p>
        </w:tc>
      </w:tr>
      <w:tr w:rsidR="00924BDF" w:rsidRPr="00433F57" w:rsidTr="00306139">
        <w:trPr>
          <w:cantSplit/>
        </w:trPr>
        <w:tc>
          <w:tcPr>
            <w:tcW w:w="4431" w:type="dxa"/>
            <w:tcMar>
              <w:top w:w="57" w:type="dxa"/>
              <w:left w:w="57" w:type="dxa"/>
              <w:bottom w:w="57" w:type="dxa"/>
              <w:right w:w="57" w:type="dxa"/>
            </w:tcMar>
          </w:tcPr>
          <w:p w:rsidR="00924BDF" w:rsidRDefault="00924BDF" w:rsidP="00AC4419">
            <w:pPr>
              <w:numPr>
                <w:ilvl w:val="0"/>
                <w:numId w:val="1"/>
              </w:numPr>
              <w:ind w:left="360" w:hanging="360"/>
              <w:rPr>
                <w:sz w:val="22"/>
              </w:rPr>
            </w:pPr>
            <w:r w:rsidRPr="00103A22">
              <w:rPr>
                <w:sz w:val="22"/>
              </w:rPr>
              <w:t xml:space="preserve">the need for critical analysis of representations of the past and historical methods that can be used for this purpose </w:t>
            </w:r>
            <w:r w:rsidRPr="00103A22">
              <w:rPr>
                <w:noProof/>
                <w:sz w:val="22"/>
                <w:lang w:eastAsia="en-AU"/>
              </w:rPr>
              <w:drawing>
                <wp:inline distT="114300" distB="114300" distL="114300" distR="114300" wp14:anchorId="1FB961C8" wp14:editId="25E8F845">
                  <wp:extent cx="114300" cy="104775"/>
                  <wp:effectExtent l="0" t="0" r="0" b="9525"/>
                  <wp:docPr id="1" name="image530.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530.png" title="Aboriginal and Torres Strait Islander histories and cultures icon"/>
                          <pic:cNvPicPr preferRelativeResize="0"/>
                        </pic:nvPicPr>
                        <pic:blipFill>
                          <a:blip r:embed="rId15"/>
                          <a:srcRect/>
                          <a:stretch>
                            <a:fillRect/>
                          </a:stretch>
                        </pic:blipFill>
                        <pic:spPr>
                          <a:xfrm>
                            <a:off x="0" y="0"/>
                            <a:ext cx="114300"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758934E6" wp14:editId="2BBF407C">
                  <wp:extent cx="123825" cy="104775"/>
                  <wp:effectExtent l="0" t="0" r="9525" b="9525"/>
                  <wp:docPr id="2" name="image24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40.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6319A24C" wp14:editId="697421DC">
                  <wp:extent cx="133350" cy="104775"/>
                  <wp:effectExtent l="0" t="0" r="0" b="9525"/>
                  <wp:docPr id="3"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103A22">
              <w:rPr>
                <w:sz w:val="22"/>
              </w:rPr>
              <w:t xml:space="preserve"> </w:t>
            </w:r>
            <w:r w:rsidRPr="00103A22">
              <w:rPr>
                <w:noProof/>
                <w:sz w:val="22"/>
                <w:lang w:eastAsia="en-AU"/>
              </w:rPr>
              <w:drawing>
                <wp:inline distT="114300" distB="114300" distL="114300" distR="114300" wp14:anchorId="2743F67A" wp14:editId="75535BF7">
                  <wp:extent cx="133350" cy="104775"/>
                  <wp:effectExtent l="0" t="0" r="0" b="9525"/>
                  <wp:docPr id="4" name="image88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83.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403107" w:rsidRDefault="00403107" w:rsidP="00403107">
            <w:pPr>
              <w:rPr>
                <w:sz w:val="22"/>
              </w:rPr>
            </w:pPr>
          </w:p>
          <w:p w:rsidR="00403107" w:rsidRPr="00403107" w:rsidRDefault="00403107" w:rsidP="00403107">
            <w:pPr>
              <w:numPr>
                <w:ilvl w:val="0"/>
                <w:numId w:val="19"/>
              </w:numPr>
              <w:ind w:left="360" w:hanging="360"/>
              <w:rPr>
                <w:sz w:val="22"/>
              </w:rPr>
            </w:pPr>
            <w:r w:rsidRPr="00403107">
              <w:rPr>
                <w:sz w:val="22"/>
              </w:rPr>
              <w:t xml:space="preserve">Analyse sources to identify and account for the different perspectives of individuals and groups in the past (ACHMH010) </w:t>
            </w:r>
            <w:r w:rsidRPr="00403107">
              <w:rPr>
                <w:noProof/>
                <w:sz w:val="22"/>
                <w:lang w:eastAsia="en-AU"/>
              </w:rPr>
              <w:drawing>
                <wp:inline distT="114300" distB="114300" distL="114300" distR="114300" wp14:anchorId="19FC1509" wp14:editId="76BFA8F2">
                  <wp:extent cx="123825" cy="104775"/>
                  <wp:effectExtent l="0" t="0" r="9525" b="9525"/>
                  <wp:docPr id="15" name="image4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0.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31C15256" wp14:editId="608081D6">
                  <wp:extent cx="133350" cy="104775"/>
                  <wp:effectExtent l="0" t="0" r="0" b="9525"/>
                  <wp:docPr id="16"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3D01CB5B" wp14:editId="08E32905">
                  <wp:extent cx="104775" cy="104775"/>
                  <wp:effectExtent l="0" t="0" r="9525" b="9525"/>
                  <wp:docPr id="17" name="image14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07.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0DA958D2" wp14:editId="34C12603">
                  <wp:extent cx="133350" cy="104775"/>
                  <wp:effectExtent l="0" t="0" r="0" b="9525"/>
                  <wp:docPr id="18"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70DC23FE" wp14:editId="485DBE7C">
                  <wp:extent cx="95250" cy="104775"/>
                  <wp:effectExtent l="0" t="0" r="0" b="9525"/>
                  <wp:docPr id="19" name="image99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94.png"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r w:rsidRPr="00403107">
              <w:rPr>
                <w:sz w:val="22"/>
              </w:rPr>
              <w:t xml:space="preserve"> </w:t>
            </w:r>
            <w:r w:rsidRPr="00403107">
              <w:rPr>
                <w:noProof/>
                <w:sz w:val="22"/>
                <w:lang w:eastAsia="en-AU"/>
              </w:rPr>
              <w:drawing>
                <wp:inline distT="114300" distB="114300" distL="114300" distR="114300" wp14:anchorId="4F617496" wp14:editId="68C27AA7">
                  <wp:extent cx="66675" cy="104775"/>
                  <wp:effectExtent l="0" t="0" r="9525" b="9525"/>
                  <wp:docPr id="20"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3"/>
                          <a:srcRect/>
                          <a:stretch>
                            <a:fillRect/>
                          </a:stretch>
                        </pic:blipFill>
                        <pic:spPr>
                          <a:xfrm>
                            <a:off x="0" y="0"/>
                            <a:ext cx="66675" cy="104775"/>
                          </a:xfrm>
                          <a:prstGeom prst="rect">
                            <a:avLst/>
                          </a:prstGeom>
                          <a:ln/>
                        </pic:spPr>
                      </pic:pic>
                    </a:graphicData>
                  </a:graphic>
                </wp:inline>
              </w:drawing>
            </w:r>
          </w:p>
        </w:tc>
        <w:tc>
          <w:tcPr>
            <w:tcW w:w="7461" w:type="dxa"/>
            <w:tcMar>
              <w:top w:w="57" w:type="dxa"/>
              <w:left w:w="57" w:type="dxa"/>
              <w:bottom w:w="57" w:type="dxa"/>
              <w:right w:w="57" w:type="dxa"/>
            </w:tcMar>
          </w:tcPr>
          <w:p w:rsidR="00924BDF" w:rsidRPr="00425DEF" w:rsidRDefault="00924BDF" w:rsidP="00924BDF">
            <w:pPr>
              <w:numPr>
                <w:ilvl w:val="0"/>
                <w:numId w:val="19"/>
              </w:numPr>
              <w:ind w:left="360" w:hanging="360"/>
              <w:rPr>
                <w:sz w:val="22"/>
              </w:rPr>
            </w:pPr>
            <w:r>
              <w:rPr>
                <w:sz w:val="22"/>
              </w:rPr>
              <w:t xml:space="preserve">Students engage in a class debate in which they consider the appropriateness of the </w:t>
            </w:r>
            <w:proofErr w:type="spellStart"/>
            <w:r>
              <w:rPr>
                <w:sz w:val="22"/>
              </w:rPr>
              <w:t>Yasukuni</w:t>
            </w:r>
            <w:proofErr w:type="spellEnd"/>
            <w:r>
              <w:rPr>
                <w:sz w:val="22"/>
              </w:rPr>
              <w:t xml:space="preserve"> Shrine</w:t>
            </w:r>
            <w:r w:rsidR="00AC4419">
              <w:rPr>
                <w:sz w:val="22"/>
              </w:rPr>
              <w:t>, considering a range of perspectives</w:t>
            </w:r>
            <w:r>
              <w:rPr>
                <w:sz w:val="22"/>
              </w:rPr>
              <w:t xml:space="preserve">. As a part of their research, students may choose to </w:t>
            </w:r>
            <w:r w:rsidR="00AC4419">
              <w:rPr>
                <w:sz w:val="22"/>
              </w:rPr>
              <w:t xml:space="preserve">also </w:t>
            </w:r>
            <w:r>
              <w:rPr>
                <w:sz w:val="22"/>
              </w:rPr>
              <w:t xml:space="preserve">consider the </w:t>
            </w:r>
            <w:proofErr w:type="spellStart"/>
            <w:r w:rsidRPr="00E3208F">
              <w:rPr>
                <w:sz w:val="22"/>
              </w:rPr>
              <w:t>Yushukan</w:t>
            </w:r>
            <w:proofErr w:type="spellEnd"/>
            <w:r w:rsidRPr="00E3208F">
              <w:rPr>
                <w:sz w:val="22"/>
              </w:rPr>
              <w:t xml:space="preserve"> War Museum</w:t>
            </w:r>
            <w:r w:rsidR="00AC4419">
              <w:rPr>
                <w:sz w:val="22"/>
              </w:rPr>
              <w:t xml:space="preserve"> and its collection, and a</w:t>
            </w:r>
            <w:r w:rsidR="00953807">
              <w:rPr>
                <w:sz w:val="22"/>
              </w:rPr>
              <w:t xml:space="preserve"> range of sources which may provide alternative perspectives.</w:t>
            </w:r>
          </w:p>
          <w:p w:rsidR="00924BDF" w:rsidRPr="00AC4419" w:rsidRDefault="00924BDF" w:rsidP="00953807">
            <w:pPr>
              <w:numPr>
                <w:ilvl w:val="0"/>
                <w:numId w:val="19"/>
              </w:numPr>
              <w:ind w:left="360" w:hanging="360"/>
              <w:rPr>
                <w:sz w:val="22"/>
              </w:rPr>
            </w:pPr>
            <w:r>
              <w:rPr>
                <w:sz w:val="22"/>
              </w:rPr>
              <w:t xml:space="preserve">As a class, students consider </w:t>
            </w:r>
            <w:r w:rsidR="00953807">
              <w:rPr>
                <w:sz w:val="22"/>
              </w:rPr>
              <w:t xml:space="preserve">the purpose/s of the shrine, </w:t>
            </w:r>
            <w:proofErr w:type="spellStart"/>
            <w:r w:rsidR="00953807">
              <w:rPr>
                <w:sz w:val="22"/>
              </w:rPr>
              <w:t>eg</w:t>
            </w:r>
            <w:proofErr w:type="spellEnd"/>
            <w:r w:rsidR="00953807">
              <w:rPr>
                <w:sz w:val="22"/>
              </w:rPr>
              <w:t>. cultural/religious significance, nationa</w:t>
            </w:r>
            <w:r w:rsidR="00E83C98">
              <w:rPr>
                <w:sz w:val="22"/>
              </w:rPr>
              <w:t>lism, etc.</w:t>
            </w:r>
          </w:p>
        </w:tc>
        <w:tc>
          <w:tcPr>
            <w:tcW w:w="3508" w:type="dxa"/>
            <w:tcMar>
              <w:top w:w="57" w:type="dxa"/>
              <w:left w:w="57" w:type="dxa"/>
              <w:bottom w:w="57" w:type="dxa"/>
              <w:right w:w="57" w:type="dxa"/>
            </w:tcMar>
          </w:tcPr>
          <w:p w:rsidR="00924BDF" w:rsidRDefault="00602221" w:rsidP="000B2AF2">
            <w:pPr>
              <w:rPr>
                <w:rFonts w:cs="Arial"/>
                <w:b/>
                <w:sz w:val="22"/>
              </w:rPr>
            </w:pPr>
            <w:r w:rsidRPr="000D4F02">
              <w:rPr>
                <w:rFonts w:cs="Arial"/>
                <w:b/>
                <w:sz w:val="22"/>
              </w:rPr>
              <w:t>Extension</w:t>
            </w:r>
          </w:p>
          <w:p w:rsidR="000D4F02" w:rsidRPr="000D4F02" w:rsidRDefault="000D4F02" w:rsidP="000D4F02">
            <w:pPr>
              <w:rPr>
                <w:rFonts w:cs="Arial"/>
                <w:sz w:val="22"/>
              </w:rPr>
            </w:pPr>
            <w:r w:rsidRPr="000D4F02">
              <w:rPr>
                <w:rFonts w:cs="Arial"/>
                <w:sz w:val="22"/>
              </w:rPr>
              <w:t xml:space="preserve">Students </w:t>
            </w:r>
            <w:r>
              <w:rPr>
                <w:rFonts w:cs="Arial"/>
                <w:sz w:val="22"/>
              </w:rPr>
              <w:t>investigate the collection of</w:t>
            </w:r>
            <w:r w:rsidRPr="000D4F02">
              <w:rPr>
                <w:rFonts w:cs="Arial"/>
                <w:sz w:val="22"/>
              </w:rPr>
              <w:t xml:space="preserve"> the </w:t>
            </w:r>
            <w:proofErr w:type="spellStart"/>
            <w:r w:rsidRPr="000D4F02">
              <w:rPr>
                <w:rFonts w:cs="Arial"/>
                <w:sz w:val="22"/>
              </w:rPr>
              <w:t>Yushukan</w:t>
            </w:r>
            <w:proofErr w:type="spellEnd"/>
            <w:r w:rsidRPr="000D4F02">
              <w:rPr>
                <w:rFonts w:cs="Arial"/>
                <w:sz w:val="22"/>
              </w:rPr>
              <w:t xml:space="preserve"> War Museum </w:t>
            </w:r>
            <w:r>
              <w:rPr>
                <w:rFonts w:cs="Arial"/>
                <w:sz w:val="22"/>
              </w:rPr>
              <w:t xml:space="preserve">and compare it </w:t>
            </w:r>
            <w:r w:rsidRPr="000D4F02">
              <w:rPr>
                <w:rFonts w:cs="Arial"/>
                <w:sz w:val="22"/>
              </w:rPr>
              <w:t>with one other war museum outside of Japan.</w:t>
            </w:r>
          </w:p>
        </w:tc>
      </w:tr>
    </w:tbl>
    <w:p w:rsidR="00AC4419" w:rsidRDefault="00AC4419" w:rsidP="004B3781">
      <w:pPr>
        <w:spacing w:after="0"/>
        <w:rPr>
          <w:rFonts w:cs="Arial"/>
          <w:sz w:val="22"/>
        </w:rPr>
      </w:pPr>
    </w:p>
    <w:tbl>
      <w:tblPr>
        <w:tblStyle w:val="TableGrid"/>
        <w:tblW w:w="15400" w:type="dxa"/>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15400"/>
      </w:tblGrid>
      <w:tr w:rsidR="00936D19" w:rsidRPr="00433F57" w:rsidTr="00F53F4B">
        <w:trPr>
          <w:trHeight w:val="70"/>
        </w:trPr>
        <w:tc>
          <w:tcPr>
            <w:tcW w:w="15400" w:type="dxa"/>
          </w:tcPr>
          <w:p w:rsidR="00936D19" w:rsidRDefault="002C3B3F" w:rsidP="006E1098">
            <w:pPr>
              <w:rPr>
                <w:rFonts w:cs="Arial"/>
                <w:b/>
                <w:sz w:val="22"/>
              </w:rPr>
            </w:pPr>
            <w:r w:rsidRPr="00433F57">
              <w:rPr>
                <w:rFonts w:cs="Arial"/>
                <w:sz w:val="22"/>
              </w:rPr>
              <w:lastRenderedPageBreak/>
              <w:br w:type="page"/>
            </w:r>
            <w:r w:rsidR="0024634D" w:rsidRPr="00433F57">
              <w:rPr>
                <w:rFonts w:cs="Arial"/>
                <w:b/>
                <w:sz w:val="22"/>
              </w:rPr>
              <w:t>Resource list</w:t>
            </w:r>
          </w:p>
          <w:p w:rsidR="00A31A32" w:rsidRDefault="00A31A32" w:rsidP="006E1098">
            <w:pPr>
              <w:rPr>
                <w:rFonts w:cs="Arial"/>
                <w:b/>
                <w:sz w:val="22"/>
              </w:rPr>
            </w:pPr>
          </w:p>
          <w:p w:rsidR="00A31A32" w:rsidRPr="00A31A32" w:rsidRDefault="00A31A32" w:rsidP="00330005">
            <w:pPr>
              <w:spacing w:line="276" w:lineRule="auto"/>
              <w:rPr>
                <w:rFonts w:cs="Arial"/>
                <w:sz w:val="22"/>
              </w:rPr>
            </w:pPr>
            <w:r w:rsidRPr="00A31A32">
              <w:rPr>
                <w:rFonts w:cs="Arial"/>
                <w:sz w:val="22"/>
              </w:rPr>
              <w:t>Public history</w:t>
            </w:r>
          </w:p>
          <w:p w:rsidR="00A31A32" w:rsidRPr="007308EF" w:rsidRDefault="000645FE" w:rsidP="00330005">
            <w:pPr>
              <w:spacing w:line="276" w:lineRule="auto"/>
              <w:rPr>
                <w:rFonts w:cs="Arial"/>
                <w:sz w:val="22"/>
              </w:rPr>
            </w:pPr>
            <w:r w:rsidRPr="007308EF">
              <w:rPr>
                <w:sz w:val="22"/>
              </w:rPr>
              <w:t xml:space="preserve">Australian Centre for Public History, </w:t>
            </w:r>
            <w:r w:rsidRPr="007308EF">
              <w:rPr>
                <w:i/>
                <w:sz w:val="22"/>
              </w:rPr>
              <w:t>Projects and Publications</w:t>
            </w:r>
            <w:r w:rsidR="007308EF">
              <w:rPr>
                <w:i/>
                <w:sz w:val="22"/>
              </w:rPr>
              <w:t>,</w:t>
            </w:r>
            <w:r w:rsidRPr="007308EF">
              <w:rPr>
                <w:sz w:val="22"/>
              </w:rPr>
              <w:t xml:space="preserve"> University of Technology, Sydney</w:t>
            </w:r>
            <w:r w:rsidR="007308EF">
              <w:rPr>
                <w:sz w:val="22"/>
              </w:rPr>
              <w:t>.</w:t>
            </w:r>
            <w:r w:rsidRPr="007308EF">
              <w:rPr>
                <w:sz w:val="22"/>
              </w:rPr>
              <w:t xml:space="preserve">  </w:t>
            </w:r>
            <w:r w:rsidR="007308EF">
              <w:rPr>
                <w:sz w:val="22"/>
              </w:rPr>
              <w:t xml:space="preserve">Date accessed 5 May, 2017, from </w:t>
            </w:r>
            <w:hyperlink r:id="rId18" w:history="1">
              <w:r w:rsidR="007308EF" w:rsidRPr="0092706B">
                <w:rPr>
                  <w:rStyle w:val="Hyperlink"/>
                  <w:sz w:val="22"/>
                </w:rPr>
                <w:t>http://www.uts.edu.au/research-and-teaching/our-research/australian-centre-public-history/projects-and-publications-0</w:t>
              </w:r>
            </w:hyperlink>
            <w:r w:rsidR="007308EF">
              <w:rPr>
                <w:sz w:val="22"/>
              </w:rPr>
              <w:t xml:space="preserve"> </w:t>
            </w:r>
          </w:p>
          <w:p w:rsidR="00A31A32" w:rsidRPr="007308EF" w:rsidRDefault="007308EF" w:rsidP="00330005">
            <w:pPr>
              <w:spacing w:line="276" w:lineRule="auto"/>
              <w:rPr>
                <w:rFonts w:cs="Arial"/>
                <w:sz w:val="22"/>
              </w:rPr>
            </w:pPr>
            <w:r w:rsidRPr="007308EF">
              <w:rPr>
                <w:sz w:val="22"/>
              </w:rPr>
              <w:t xml:space="preserve">National Council on Public History, </w:t>
            </w:r>
            <w:r>
              <w:rPr>
                <w:i/>
                <w:sz w:val="22"/>
              </w:rPr>
              <w:t xml:space="preserve">Putting History to Work in the World. </w:t>
            </w:r>
            <w:r w:rsidRPr="007308EF">
              <w:rPr>
                <w:sz w:val="22"/>
              </w:rPr>
              <w:t xml:space="preserve">Date accessed 5 May, 2017, from </w:t>
            </w:r>
            <w:hyperlink r:id="rId19" w:history="1">
              <w:r w:rsidR="00A31A32" w:rsidRPr="007308EF">
                <w:rPr>
                  <w:rStyle w:val="Hyperlink"/>
                  <w:rFonts w:cs="Arial"/>
                  <w:sz w:val="22"/>
                </w:rPr>
                <w:t>http://ncph.org/</w:t>
              </w:r>
            </w:hyperlink>
            <w:r w:rsidRPr="007308EF">
              <w:rPr>
                <w:rFonts w:cs="Arial"/>
                <w:sz w:val="22"/>
              </w:rPr>
              <w:t xml:space="preserve"> </w:t>
            </w:r>
          </w:p>
          <w:p w:rsidR="00A31A32" w:rsidRPr="00A31A32" w:rsidRDefault="00A31A32" w:rsidP="00330005">
            <w:pPr>
              <w:spacing w:line="276" w:lineRule="auto"/>
              <w:rPr>
                <w:rFonts w:cs="Arial"/>
                <w:sz w:val="22"/>
              </w:rPr>
            </w:pPr>
          </w:p>
          <w:p w:rsidR="00A31A32" w:rsidRPr="007308EF" w:rsidRDefault="007308EF" w:rsidP="00330005">
            <w:pPr>
              <w:spacing w:line="276" w:lineRule="auto"/>
              <w:rPr>
                <w:rFonts w:cs="Arial"/>
                <w:sz w:val="22"/>
              </w:rPr>
            </w:pPr>
            <w:proofErr w:type="spellStart"/>
            <w:r w:rsidRPr="007308EF">
              <w:rPr>
                <w:rFonts w:cs="Arial"/>
                <w:sz w:val="22"/>
              </w:rPr>
              <w:t>Yasukuni</w:t>
            </w:r>
            <w:proofErr w:type="spellEnd"/>
            <w:r w:rsidRPr="007308EF">
              <w:rPr>
                <w:rFonts w:cs="Arial"/>
                <w:sz w:val="22"/>
              </w:rPr>
              <w:t xml:space="preserve"> </w:t>
            </w:r>
            <w:r w:rsidR="00A31A32" w:rsidRPr="007308EF">
              <w:rPr>
                <w:rFonts w:cs="Arial"/>
                <w:sz w:val="22"/>
              </w:rPr>
              <w:t>Shrine</w:t>
            </w:r>
          </w:p>
          <w:p w:rsidR="00AB373D" w:rsidRPr="007308EF" w:rsidRDefault="007308EF" w:rsidP="00330005">
            <w:pPr>
              <w:spacing w:line="276" w:lineRule="auto"/>
              <w:rPr>
                <w:rFonts w:cs="Arial"/>
                <w:sz w:val="22"/>
              </w:rPr>
            </w:pPr>
            <w:proofErr w:type="spellStart"/>
            <w:r w:rsidRPr="007308EF">
              <w:rPr>
                <w:sz w:val="22"/>
              </w:rPr>
              <w:t>Yasukuni</w:t>
            </w:r>
            <w:proofErr w:type="spellEnd"/>
            <w:r w:rsidRPr="007308EF">
              <w:rPr>
                <w:sz w:val="22"/>
              </w:rPr>
              <w:t xml:space="preserve"> Shrine official website. Date accessed 5 May, 2017, from </w:t>
            </w:r>
            <w:hyperlink r:id="rId20" w:history="1">
              <w:r w:rsidR="00AB373D" w:rsidRPr="007308EF">
                <w:rPr>
                  <w:rStyle w:val="Hyperlink"/>
                  <w:rFonts w:cs="Arial"/>
                  <w:sz w:val="22"/>
                </w:rPr>
                <w:t>http://www.yasukuni.or.jp/english/</w:t>
              </w:r>
            </w:hyperlink>
          </w:p>
          <w:p w:rsidR="00AB373D" w:rsidRPr="007308EF" w:rsidRDefault="007308EF" w:rsidP="00330005">
            <w:pPr>
              <w:spacing w:line="276" w:lineRule="auto"/>
              <w:rPr>
                <w:rFonts w:cs="Arial"/>
                <w:sz w:val="22"/>
              </w:rPr>
            </w:pPr>
            <w:r>
              <w:rPr>
                <w:rFonts w:cs="Arial"/>
                <w:sz w:val="22"/>
              </w:rPr>
              <w:t>Woolf, C 2013,</w:t>
            </w:r>
            <w:r w:rsidRPr="007308EF">
              <w:rPr>
                <w:rFonts w:cs="Arial"/>
                <w:sz w:val="22"/>
              </w:rPr>
              <w:t xml:space="preserve"> </w:t>
            </w:r>
            <w:r w:rsidRPr="007308EF">
              <w:rPr>
                <w:rFonts w:cs="Arial"/>
                <w:i/>
                <w:sz w:val="22"/>
              </w:rPr>
              <w:t xml:space="preserve">Why is the </w:t>
            </w:r>
            <w:proofErr w:type="spellStart"/>
            <w:r w:rsidRPr="007308EF">
              <w:rPr>
                <w:rFonts w:cs="Arial"/>
                <w:i/>
                <w:sz w:val="22"/>
              </w:rPr>
              <w:t>Yasukuni</w:t>
            </w:r>
            <w:proofErr w:type="spellEnd"/>
            <w:r w:rsidRPr="007308EF">
              <w:rPr>
                <w:rFonts w:cs="Arial"/>
                <w:i/>
                <w:sz w:val="22"/>
              </w:rPr>
              <w:t xml:space="preserve"> Shrine so controversial?</w:t>
            </w:r>
            <w:r w:rsidRPr="007308EF">
              <w:rPr>
                <w:rFonts w:cs="Arial"/>
                <w:sz w:val="22"/>
              </w:rPr>
              <w:t xml:space="preserve"> </w:t>
            </w:r>
            <w:r>
              <w:rPr>
                <w:rFonts w:cs="Arial"/>
                <w:sz w:val="22"/>
              </w:rPr>
              <w:t>Public Radio International (</w:t>
            </w:r>
            <w:r w:rsidRPr="007308EF">
              <w:rPr>
                <w:rFonts w:cs="Arial"/>
                <w:sz w:val="22"/>
              </w:rPr>
              <w:t>PRI</w:t>
            </w:r>
            <w:r>
              <w:rPr>
                <w:rFonts w:cs="Arial"/>
                <w:sz w:val="22"/>
              </w:rPr>
              <w:t xml:space="preserve">). </w:t>
            </w:r>
            <w:r w:rsidRPr="007308EF">
              <w:rPr>
                <w:rFonts w:cs="Arial"/>
                <w:sz w:val="22"/>
              </w:rPr>
              <w:t xml:space="preserve">Date accessed 5 May, 2017, from </w:t>
            </w:r>
            <w:hyperlink r:id="rId21" w:history="1">
              <w:r w:rsidR="00AB373D" w:rsidRPr="007308EF">
                <w:rPr>
                  <w:rStyle w:val="Hyperlink"/>
                  <w:rFonts w:cs="Arial"/>
                  <w:sz w:val="22"/>
                </w:rPr>
                <w:t>https://www.pri.org/stories/2013-12-26/why-yasukuni-shrine-so-controversial</w:t>
              </w:r>
            </w:hyperlink>
          </w:p>
          <w:p w:rsidR="00A31A32" w:rsidRPr="00A31A32" w:rsidRDefault="00753D44" w:rsidP="00330005">
            <w:pPr>
              <w:pStyle w:val="Heading1"/>
              <w:spacing w:line="276" w:lineRule="auto"/>
              <w:jc w:val="left"/>
              <w:outlineLvl w:val="0"/>
              <w:rPr>
                <w:rFonts w:cs="Arial"/>
                <w:sz w:val="22"/>
              </w:rPr>
            </w:pPr>
            <w:proofErr w:type="spellStart"/>
            <w:r w:rsidRPr="00753D44">
              <w:rPr>
                <w:rStyle w:val="watch-title"/>
                <w:b w:val="0"/>
                <w:sz w:val="22"/>
                <w:szCs w:val="22"/>
              </w:rPr>
              <w:t>Takenaka</w:t>
            </w:r>
            <w:proofErr w:type="spellEnd"/>
            <w:r w:rsidRPr="00753D44">
              <w:rPr>
                <w:rStyle w:val="watch-title"/>
                <w:b w:val="0"/>
                <w:sz w:val="22"/>
                <w:szCs w:val="22"/>
              </w:rPr>
              <w:t>, A 2015,</w:t>
            </w:r>
            <w:r>
              <w:rPr>
                <w:rStyle w:val="watch-title"/>
                <w:b w:val="0"/>
                <w:i/>
                <w:sz w:val="22"/>
                <w:szCs w:val="22"/>
              </w:rPr>
              <w:t xml:space="preserve"> </w:t>
            </w:r>
            <w:r w:rsidR="00A31A32" w:rsidRPr="007308EF">
              <w:rPr>
                <w:rStyle w:val="watch-title"/>
                <w:b w:val="0"/>
                <w:i/>
                <w:sz w:val="22"/>
                <w:szCs w:val="22"/>
              </w:rPr>
              <w:t xml:space="preserve">Memory and Spatial Practice: </w:t>
            </w:r>
            <w:proofErr w:type="spellStart"/>
            <w:r w:rsidR="00A31A32" w:rsidRPr="007308EF">
              <w:rPr>
                <w:rStyle w:val="watch-title"/>
                <w:b w:val="0"/>
                <w:i/>
                <w:sz w:val="22"/>
                <w:szCs w:val="22"/>
              </w:rPr>
              <w:t>Yasukuni</w:t>
            </w:r>
            <w:proofErr w:type="spellEnd"/>
            <w:r w:rsidR="00A31A32" w:rsidRPr="007308EF">
              <w:rPr>
                <w:rStyle w:val="watch-title"/>
                <w:b w:val="0"/>
                <w:i/>
                <w:sz w:val="22"/>
                <w:szCs w:val="22"/>
              </w:rPr>
              <w:t xml:space="preserve"> Shri</w:t>
            </w:r>
            <w:r w:rsidR="007308EF" w:rsidRPr="007308EF">
              <w:rPr>
                <w:rStyle w:val="watch-title"/>
                <w:b w:val="0"/>
                <w:i/>
                <w:sz w:val="22"/>
                <w:szCs w:val="22"/>
              </w:rPr>
              <w:t xml:space="preserve">ne and Japan's Unending </w:t>
            </w:r>
            <w:proofErr w:type="spellStart"/>
            <w:r w:rsidR="007308EF" w:rsidRPr="007308EF">
              <w:rPr>
                <w:rStyle w:val="watch-title"/>
                <w:b w:val="0"/>
                <w:i/>
                <w:sz w:val="22"/>
                <w:szCs w:val="22"/>
              </w:rPr>
              <w:t>Postwar</w:t>
            </w:r>
            <w:proofErr w:type="spellEnd"/>
            <w:r w:rsidR="007308EF">
              <w:rPr>
                <w:rStyle w:val="watch-title"/>
                <w:b w:val="0"/>
                <w:sz w:val="22"/>
                <w:szCs w:val="22"/>
              </w:rPr>
              <w:t xml:space="preserve">. Brigham Young University - Kennedy </w:t>
            </w:r>
            <w:proofErr w:type="spellStart"/>
            <w:r w:rsidR="007308EF">
              <w:rPr>
                <w:rStyle w:val="watch-title"/>
                <w:b w:val="0"/>
                <w:sz w:val="22"/>
                <w:szCs w:val="22"/>
              </w:rPr>
              <w:t>Center</w:t>
            </w:r>
            <w:proofErr w:type="spellEnd"/>
            <w:r w:rsidR="007308EF">
              <w:rPr>
                <w:rStyle w:val="watch-title"/>
                <w:b w:val="0"/>
                <w:sz w:val="22"/>
                <w:szCs w:val="22"/>
              </w:rPr>
              <w:t xml:space="preserve"> for International Studies</w:t>
            </w:r>
            <w:r>
              <w:rPr>
                <w:rStyle w:val="watch-title"/>
                <w:b w:val="0"/>
                <w:sz w:val="22"/>
                <w:szCs w:val="22"/>
              </w:rPr>
              <w:t xml:space="preserve">. Date accessed 5 May, 2017, from </w:t>
            </w:r>
            <w:hyperlink r:id="rId22" w:history="1">
              <w:r w:rsidR="00A31A32" w:rsidRPr="00753D44">
                <w:rPr>
                  <w:rStyle w:val="Hyperlink"/>
                  <w:rFonts w:cs="Arial"/>
                  <w:b w:val="0"/>
                  <w:sz w:val="22"/>
                </w:rPr>
                <w:t>https://www.youtube.com/watch?v=Zoz5EKtFtmQ</w:t>
              </w:r>
            </w:hyperlink>
            <w:r w:rsidR="00A31A32" w:rsidRPr="00A31A32">
              <w:rPr>
                <w:rFonts w:cs="Arial"/>
                <w:sz w:val="22"/>
              </w:rPr>
              <w:t xml:space="preserve"> </w:t>
            </w:r>
          </w:p>
          <w:p w:rsidR="008E7DD2" w:rsidRDefault="006032BD" w:rsidP="00330005">
            <w:pPr>
              <w:spacing w:line="276" w:lineRule="auto"/>
              <w:rPr>
                <w:rFonts w:cs="Arial"/>
                <w:i/>
                <w:sz w:val="22"/>
              </w:rPr>
            </w:pPr>
            <w:r w:rsidRPr="00433F57">
              <w:rPr>
                <w:rFonts w:cs="Arial"/>
                <w:i/>
                <w:sz w:val="22"/>
              </w:rPr>
              <w:t xml:space="preserve"> </w:t>
            </w:r>
          </w:p>
          <w:p w:rsidR="00306139" w:rsidRDefault="00306139" w:rsidP="00330005">
            <w:pPr>
              <w:spacing w:line="276" w:lineRule="auto"/>
              <w:rPr>
                <w:rFonts w:cs="Arial"/>
                <w:sz w:val="22"/>
              </w:rPr>
            </w:pPr>
            <w:proofErr w:type="spellStart"/>
            <w:r w:rsidRPr="00306139">
              <w:rPr>
                <w:rFonts w:cs="Arial"/>
                <w:sz w:val="22"/>
              </w:rPr>
              <w:t>Yushukan</w:t>
            </w:r>
            <w:proofErr w:type="spellEnd"/>
            <w:r w:rsidRPr="00306139">
              <w:rPr>
                <w:rFonts w:cs="Arial"/>
                <w:sz w:val="22"/>
              </w:rPr>
              <w:t xml:space="preserve"> War Museum</w:t>
            </w:r>
          </w:p>
          <w:p w:rsidR="00306139" w:rsidRPr="00753D44" w:rsidRDefault="00753D44" w:rsidP="00330005">
            <w:pPr>
              <w:spacing w:line="276" w:lineRule="auto"/>
              <w:rPr>
                <w:rFonts w:cs="Arial"/>
                <w:sz w:val="22"/>
              </w:rPr>
            </w:pPr>
            <w:r w:rsidRPr="00753D44">
              <w:rPr>
                <w:sz w:val="22"/>
              </w:rPr>
              <w:t xml:space="preserve">Fallows, J 2014, </w:t>
            </w:r>
            <w:r w:rsidRPr="00753D44">
              <w:rPr>
                <w:i/>
                <w:sz w:val="22"/>
              </w:rPr>
              <w:t xml:space="preserve">Stop Talking about </w:t>
            </w:r>
            <w:proofErr w:type="spellStart"/>
            <w:r w:rsidRPr="00753D44">
              <w:rPr>
                <w:i/>
                <w:sz w:val="22"/>
              </w:rPr>
              <w:t>Yasukuni</w:t>
            </w:r>
            <w:proofErr w:type="spellEnd"/>
            <w:r w:rsidRPr="00753D44">
              <w:rPr>
                <w:i/>
                <w:sz w:val="22"/>
              </w:rPr>
              <w:t xml:space="preserve">; the Real Problem is </w:t>
            </w:r>
            <w:proofErr w:type="spellStart"/>
            <w:r w:rsidRPr="00753D44">
              <w:rPr>
                <w:i/>
                <w:sz w:val="22"/>
              </w:rPr>
              <w:t>Yushukan</w:t>
            </w:r>
            <w:proofErr w:type="spellEnd"/>
            <w:r w:rsidRPr="00753D44">
              <w:rPr>
                <w:i/>
                <w:sz w:val="22"/>
              </w:rPr>
              <w:t>.</w:t>
            </w:r>
            <w:r w:rsidRPr="00753D44">
              <w:rPr>
                <w:sz w:val="22"/>
              </w:rPr>
              <w:t xml:space="preserve"> The Atlantic. Date accessed 5 May, 2017, from </w:t>
            </w:r>
            <w:hyperlink r:id="rId23" w:history="1">
              <w:r w:rsidR="004279ED" w:rsidRPr="00753D44">
                <w:rPr>
                  <w:rStyle w:val="Hyperlink"/>
                  <w:rFonts w:cs="Arial"/>
                  <w:sz w:val="22"/>
                </w:rPr>
                <w:t>https://www.theatlantic.com/international/archive/2014/01/stop-talking-about-yasukuni-the-real-problem-is-y-sh-kan/282757/</w:t>
              </w:r>
            </w:hyperlink>
          </w:p>
          <w:p w:rsidR="004279ED" w:rsidRPr="00753D44" w:rsidRDefault="00753D44" w:rsidP="00330005">
            <w:pPr>
              <w:pStyle w:val="Heading1"/>
              <w:spacing w:line="276" w:lineRule="auto"/>
              <w:jc w:val="left"/>
              <w:outlineLvl w:val="0"/>
              <w:rPr>
                <w:rFonts w:cs="Arial"/>
                <w:b w:val="0"/>
                <w:sz w:val="22"/>
                <w:szCs w:val="22"/>
              </w:rPr>
            </w:pPr>
            <w:proofErr w:type="spellStart"/>
            <w:r w:rsidRPr="00753D44">
              <w:rPr>
                <w:rFonts w:cs="Arial"/>
                <w:b w:val="0"/>
                <w:sz w:val="22"/>
                <w:szCs w:val="22"/>
              </w:rPr>
              <w:t>Kuo</w:t>
            </w:r>
            <w:proofErr w:type="spellEnd"/>
            <w:r w:rsidRPr="00753D44">
              <w:rPr>
                <w:rFonts w:cs="Arial"/>
                <w:b w:val="0"/>
                <w:sz w:val="22"/>
                <w:szCs w:val="22"/>
              </w:rPr>
              <w:t>, L 2014,</w:t>
            </w:r>
            <w:r>
              <w:rPr>
                <w:rFonts w:cs="Arial"/>
                <w:b w:val="0"/>
                <w:sz w:val="22"/>
                <w:szCs w:val="22"/>
              </w:rPr>
              <w:t xml:space="preserve"> </w:t>
            </w:r>
            <w:proofErr w:type="gramStart"/>
            <w:r w:rsidRPr="00753D44">
              <w:rPr>
                <w:b w:val="0"/>
                <w:i/>
                <w:sz w:val="22"/>
                <w:szCs w:val="22"/>
              </w:rPr>
              <w:t>The</w:t>
            </w:r>
            <w:proofErr w:type="gramEnd"/>
            <w:r w:rsidRPr="00753D44">
              <w:rPr>
                <w:b w:val="0"/>
                <w:i/>
                <w:sz w:val="22"/>
                <w:szCs w:val="22"/>
              </w:rPr>
              <w:t xml:space="preserve"> story of World War II according to Japan’s controversial war museum</w:t>
            </w:r>
            <w:r>
              <w:rPr>
                <w:b w:val="0"/>
                <w:i/>
                <w:sz w:val="22"/>
                <w:szCs w:val="22"/>
              </w:rPr>
              <w:t>.</w:t>
            </w:r>
            <w:r>
              <w:rPr>
                <w:b w:val="0"/>
                <w:sz w:val="22"/>
                <w:szCs w:val="22"/>
              </w:rPr>
              <w:t xml:space="preserve"> </w:t>
            </w:r>
            <w:proofErr w:type="gramStart"/>
            <w:r>
              <w:rPr>
                <w:b w:val="0"/>
                <w:sz w:val="22"/>
                <w:szCs w:val="22"/>
              </w:rPr>
              <w:t>Quartz</w:t>
            </w:r>
            <w:r w:rsidR="00330005">
              <w:rPr>
                <w:b w:val="0"/>
                <w:sz w:val="22"/>
                <w:szCs w:val="22"/>
              </w:rPr>
              <w:t>.</w:t>
            </w:r>
            <w:proofErr w:type="gramEnd"/>
            <w:r w:rsidR="00330005">
              <w:rPr>
                <w:b w:val="0"/>
                <w:sz w:val="22"/>
                <w:szCs w:val="22"/>
              </w:rPr>
              <w:t xml:space="preserve"> Date accessed 5 May, 2017, from </w:t>
            </w:r>
            <w:hyperlink r:id="rId24" w:history="1">
              <w:r w:rsidR="004279ED" w:rsidRPr="00753D44">
                <w:rPr>
                  <w:rStyle w:val="Hyperlink"/>
                  <w:rFonts w:cs="Arial"/>
                  <w:b w:val="0"/>
                  <w:sz w:val="22"/>
                  <w:szCs w:val="22"/>
                </w:rPr>
                <w:t>https://qz.com/223897/the-story-of-world-war-ii-according-to-japans-controversial-war-museum/</w:t>
              </w:r>
            </w:hyperlink>
          </w:p>
          <w:p w:rsidR="004279ED" w:rsidRDefault="00330005" w:rsidP="00330005">
            <w:pPr>
              <w:spacing w:line="276" w:lineRule="auto"/>
              <w:rPr>
                <w:rFonts w:cs="Arial"/>
                <w:sz w:val="22"/>
              </w:rPr>
            </w:pPr>
            <w:r>
              <w:rPr>
                <w:rFonts w:cs="Arial"/>
                <w:sz w:val="22"/>
              </w:rPr>
              <w:t xml:space="preserve">Simone, G 2014, </w:t>
            </w:r>
            <w:r w:rsidRPr="00330005">
              <w:rPr>
                <w:rFonts w:cs="Arial"/>
                <w:i/>
                <w:sz w:val="22"/>
              </w:rPr>
              <w:t xml:space="preserve">A trip around the </w:t>
            </w:r>
            <w:proofErr w:type="spellStart"/>
            <w:r w:rsidRPr="00330005">
              <w:rPr>
                <w:rFonts w:cs="Arial"/>
                <w:i/>
                <w:sz w:val="22"/>
              </w:rPr>
              <w:t>Yushukan</w:t>
            </w:r>
            <w:proofErr w:type="spellEnd"/>
            <w:r w:rsidRPr="00330005">
              <w:rPr>
                <w:rFonts w:cs="Arial"/>
                <w:i/>
                <w:sz w:val="22"/>
              </w:rPr>
              <w:t>, Japan’s font of discord</w:t>
            </w:r>
            <w:r>
              <w:rPr>
                <w:rFonts w:cs="Arial"/>
                <w:sz w:val="22"/>
              </w:rPr>
              <w:t xml:space="preserve">. The Japan Times. Date accessed 5 May, 2017, from </w:t>
            </w:r>
            <w:hyperlink r:id="rId25" w:anchor=".WQLdrHqJTSg" w:history="1">
              <w:r w:rsidRPr="0092706B">
                <w:rPr>
                  <w:rStyle w:val="Hyperlink"/>
                  <w:rFonts w:cs="Arial"/>
                  <w:sz w:val="22"/>
                </w:rPr>
                <w:t>http://www.japantimes.co.jp/community/2014/07/28/issues/trip-around-yushukan-japans-font-discord/#.WQLdrHqJTSg</w:t>
              </w:r>
            </w:hyperlink>
          </w:p>
          <w:p w:rsidR="00330005" w:rsidRDefault="00330005" w:rsidP="00330005">
            <w:pPr>
              <w:spacing w:line="276" w:lineRule="auto"/>
              <w:rPr>
                <w:rFonts w:cs="Arial"/>
                <w:sz w:val="22"/>
              </w:rPr>
            </w:pPr>
            <w:r>
              <w:rPr>
                <w:rFonts w:cs="Arial"/>
                <w:sz w:val="22"/>
              </w:rPr>
              <w:t xml:space="preserve">Yoshida, T 2007, </w:t>
            </w:r>
            <w:r w:rsidRPr="00753D44">
              <w:rPr>
                <w:rFonts w:cs="Arial"/>
                <w:i/>
                <w:sz w:val="22"/>
              </w:rPr>
              <w:t xml:space="preserve">Revising the Past, Complicating the Future: The </w:t>
            </w:r>
            <w:proofErr w:type="spellStart"/>
            <w:r w:rsidRPr="00753D44">
              <w:rPr>
                <w:rFonts w:cs="Arial"/>
                <w:i/>
                <w:sz w:val="22"/>
              </w:rPr>
              <w:t>Yushukan</w:t>
            </w:r>
            <w:proofErr w:type="spellEnd"/>
            <w:r w:rsidRPr="00753D44">
              <w:rPr>
                <w:rFonts w:cs="Arial"/>
                <w:i/>
                <w:sz w:val="22"/>
              </w:rPr>
              <w:t xml:space="preserve"> War Museum in Modern Japanese History.</w:t>
            </w:r>
            <w:r>
              <w:rPr>
                <w:rFonts w:cs="Arial"/>
                <w:sz w:val="22"/>
              </w:rPr>
              <w:t xml:space="preserve"> The Asia-Pacific Journal – Japan Focus. Date accessed 5 May, 2017, from </w:t>
            </w:r>
            <w:hyperlink r:id="rId26" w:history="1">
              <w:r w:rsidRPr="00CF289A">
                <w:rPr>
                  <w:rStyle w:val="Hyperlink"/>
                  <w:rFonts w:cs="Arial"/>
                  <w:sz w:val="22"/>
                </w:rPr>
                <w:t>http://apjjf.org/-Takashi-YOSHIDA/2594/article.html</w:t>
              </w:r>
            </w:hyperlink>
          </w:p>
          <w:p w:rsidR="00330005" w:rsidRPr="00A22AC2" w:rsidRDefault="00330005" w:rsidP="00330005">
            <w:pPr>
              <w:spacing w:line="276" w:lineRule="auto"/>
              <w:rPr>
                <w:rFonts w:cs="Arial"/>
                <w:sz w:val="22"/>
              </w:rPr>
            </w:pPr>
          </w:p>
        </w:tc>
      </w:tr>
    </w:tbl>
    <w:p w:rsidR="00352493" w:rsidRDefault="00352493" w:rsidP="004445E2"/>
    <w:tbl>
      <w:tblPr>
        <w:tblStyle w:val="TableGrid"/>
        <w:tblW w:w="0" w:type="auto"/>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753"/>
        <w:gridCol w:w="7753"/>
      </w:tblGrid>
      <w:tr w:rsidR="000645FE" w:rsidTr="000A0BF9">
        <w:trPr>
          <w:trHeight w:val="1701"/>
        </w:trPr>
        <w:tc>
          <w:tcPr>
            <w:tcW w:w="7753" w:type="dxa"/>
          </w:tcPr>
          <w:p w:rsidR="000645FE" w:rsidRPr="003808B0" w:rsidRDefault="000645FE" w:rsidP="000A0BF9">
            <w:pPr>
              <w:rPr>
                <w:rFonts w:cs="Arial"/>
                <w:b/>
                <w:sz w:val="22"/>
              </w:rPr>
            </w:pPr>
            <w:r w:rsidRPr="003808B0">
              <w:rPr>
                <w:rFonts w:cs="Arial"/>
                <w:b/>
                <w:sz w:val="22"/>
              </w:rPr>
              <w:t>Reflection</w:t>
            </w:r>
          </w:p>
        </w:tc>
        <w:tc>
          <w:tcPr>
            <w:tcW w:w="7753" w:type="dxa"/>
          </w:tcPr>
          <w:p w:rsidR="000645FE" w:rsidRPr="003808B0" w:rsidRDefault="000645FE" w:rsidP="000A0BF9">
            <w:pPr>
              <w:rPr>
                <w:rFonts w:cs="Arial"/>
                <w:b/>
                <w:sz w:val="22"/>
              </w:rPr>
            </w:pPr>
            <w:r w:rsidRPr="003808B0">
              <w:rPr>
                <w:rFonts w:cs="Arial"/>
                <w:b/>
                <w:sz w:val="22"/>
              </w:rPr>
              <w:t>Evaluation</w:t>
            </w:r>
          </w:p>
        </w:tc>
      </w:tr>
    </w:tbl>
    <w:p w:rsidR="000645FE" w:rsidRDefault="000645FE" w:rsidP="004445E2"/>
    <w:sectPr w:rsidR="000645FE" w:rsidSect="004B3781">
      <w:footerReference w:type="default" r:id="rId27"/>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4C" w:rsidRDefault="00E8744C" w:rsidP="003A1756">
      <w:pPr>
        <w:spacing w:after="0" w:line="240" w:lineRule="auto"/>
      </w:pPr>
      <w:r>
        <w:separator/>
      </w:r>
    </w:p>
  </w:endnote>
  <w:endnote w:type="continuationSeparator" w:id="0">
    <w:p w:rsidR="00E8744C" w:rsidRDefault="00E8744C"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3A1756" w:rsidRDefault="003A1756">
        <w:pPr>
          <w:pStyle w:val="Footer"/>
          <w:jc w:val="right"/>
        </w:pPr>
        <w:r>
          <w:fldChar w:fldCharType="begin"/>
        </w:r>
        <w:r>
          <w:instrText xml:space="preserve"> PAGE   \* MERGEFORMAT </w:instrText>
        </w:r>
        <w:r>
          <w:fldChar w:fldCharType="separate"/>
        </w:r>
        <w:r w:rsidR="00B651E4">
          <w:rPr>
            <w:noProof/>
          </w:rPr>
          <w:t>3</w:t>
        </w:r>
        <w:r>
          <w:rPr>
            <w:noProof/>
          </w:rPr>
          <w:fldChar w:fldCharType="end"/>
        </w:r>
      </w:p>
    </w:sdtContent>
  </w:sdt>
  <w:p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4C" w:rsidRDefault="00E8744C" w:rsidP="003A1756">
      <w:pPr>
        <w:spacing w:after="0" w:line="240" w:lineRule="auto"/>
      </w:pPr>
      <w:r>
        <w:separator/>
      </w:r>
    </w:p>
  </w:footnote>
  <w:footnote w:type="continuationSeparator" w:id="0">
    <w:p w:rsidR="00E8744C" w:rsidRDefault="00E8744C"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7B0"/>
    <w:multiLevelType w:val="hybridMultilevel"/>
    <w:tmpl w:val="0C94DFB8"/>
    <w:lvl w:ilvl="0" w:tplc="17D831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6230EF"/>
    <w:multiLevelType w:val="multilevel"/>
    <w:tmpl w:val="14F08742"/>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ED2DA5"/>
    <w:multiLevelType w:val="hybridMultilevel"/>
    <w:tmpl w:val="C2F2740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171153"/>
    <w:multiLevelType w:val="hybridMultilevel"/>
    <w:tmpl w:val="BA587322"/>
    <w:lvl w:ilvl="0" w:tplc="8CD0AF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912328"/>
    <w:multiLevelType w:val="hybridMultilevel"/>
    <w:tmpl w:val="015A11D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5863CC"/>
    <w:multiLevelType w:val="multilevel"/>
    <w:tmpl w:val="A40CE478"/>
    <w:lvl w:ilvl="0">
      <w:start w:val="1"/>
      <w:numFmt w:val="bullet"/>
      <w:lvlText w:val="●"/>
      <w:lvlJc w:val="left"/>
      <w:pPr>
        <w:ind w:left="1058"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2732805"/>
    <w:multiLevelType w:val="hybridMultilevel"/>
    <w:tmpl w:val="1DF256D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F7546E"/>
    <w:multiLevelType w:val="hybridMultilevel"/>
    <w:tmpl w:val="B4E40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756D3F"/>
    <w:multiLevelType w:val="hybridMultilevel"/>
    <w:tmpl w:val="9392E52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627A69"/>
    <w:multiLevelType w:val="hybridMultilevel"/>
    <w:tmpl w:val="FD24F10C"/>
    <w:lvl w:ilvl="0" w:tplc="6AD28976">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B81FF0"/>
    <w:multiLevelType w:val="hybridMultilevel"/>
    <w:tmpl w:val="FC18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305ADC"/>
    <w:multiLevelType w:val="hybridMultilevel"/>
    <w:tmpl w:val="CA0CCD6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472316"/>
    <w:multiLevelType w:val="multilevel"/>
    <w:tmpl w:val="7D9E97FE"/>
    <w:lvl w:ilvl="0">
      <w:start w:val="1"/>
      <w:numFmt w:val="bullet"/>
      <w:lvlText w:val=""/>
      <w:lvlJc w:val="left"/>
      <w:pPr>
        <w:ind w:left="0" w:firstLine="360"/>
      </w:pPr>
      <w:rPr>
        <w:rFonts w:ascii="Symbol" w:hAnsi="Symbol" w:hint="default"/>
        <w:u w:val="none"/>
      </w:rPr>
    </w:lvl>
    <w:lvl w:ilvl="1">
      <w:start w:val="1"/>
      <w:numFmt w:val="bullet"/>
      <w:lvlText w:val="–"/>
      <w:lvlJc w:val="left"/>
      <w:pPr>
        <w:ind w:left="382" w:firstLine="1080"/>
      </w:pPr>
      <w:rPr>
        <w:u w:val="none"/>
      </w:rPr>
    </w:lvl>
    <w:lvl w:ilvl="2">
      <w:start w:val="1"/>
      <w:numFmt w:val="bullet"/>
      <w:lvlText w:val="■"/>
      <w:lvlJc w:val="left"/>
      <w:pPr>
        <w:ind w:left="1102" w:firstLine="1800"/>
      </w:pPr>
      <w:rPr>
        <w:u w:val="none"/>
      </w:rPr>
    </w:lvl>
    <w:lvl w:ilvl="3">
      <w:start w:val="1"/>
      <w:numFmt w:val="bullet"/>
      <w:lvlText w:val="●"/>
      <w:lvlJc w:val="left"/>
      <w:pPr>
        <w:ind w:left="1822" w:firstLine="2520"/>
      </w:pPr>
      <w:rPr>
        <w:u w:val="none"/>
      </w:rPr>
    </w:lvl>
    <w:lvl w:ilvl="4">
      <w:start w:val="1"/>
      <w:numFmt w:val="bullet"/>
      <w:lvlText w:val="○"/>
      <w:lvlJc w:val="left"/>
      <w:pPr>
        <w:ind w:left="2542" w:firstLine="3240"/>
      </w:pPr>
      <w:rPr>
        <w:u w:val="none"/>
      </w:rPr>
    </w:lvl>
    <w:lvl w:ilvl="5">
      <w:start w:val="1"/>
      <w:numFmt w:val="bullet"/>
      <w:lvlText w:val="■"/>
      <w:lvlJc w:val="left"/>
      <w:pPr>
        <w:ind w:left="3262" w:firstLine="3960"/>
      </w:pPr>
      <w:rPr>
        <w:u w:val="none"/>
      </w:rPr>
    </w:lvl>
    <w:lvl w:ilvl="6">
      <w:start w:val="1"/>
      <w:numFmt w:val="bullet"/>
      <w:lvlText w:val="●"/>
      <w:lvlJc w:val="left"/>
      <w:pPr>
        <w:ind w:left="3982" w:firstLine="4680"/>
      </w:pPr>
      <w:rPr>
        <w:u w:val="none"/>
      </w:rPr>
    </w:lvl>
    <w:lvl w:ilvl="7">
      <w:start w:val="1"/>
      <w:numFmt w:val="bullet"/>
      <w:lvlText w:val="○"/>
      <w:lvlJc w:val="left"/>
      <w:pPr>
        <w:ind w:left="4702" w:firstLine="5400"/>
      </w:pPr>
      <w:rPr>
        <w:u w:val="none"/>
      </w:rPr>
    </w:lvl>
    <w:lvl w:ilvl="8">
      <w:start w:val="1"/>
      <w:numFmt w:val="bullet"/>
      <w:lvlText w:val="■"/>
      <w:lvlJc w:val="left"/>
      <w:pPr>
        <w:ind w:left="5422" w:firstLine="6120"/>
      </w:pPr>
      <w:rPr>
        <w:u w:val="none"/>
      </w:rPr>
    </w:lvl>
  </w:abstractNum>
  <w:abstractNum w:abstractNumId="13">
    <w:nsid w:val="551C5688"/>
    <w:multiLevelType w:val="hybridMultilevel"/>
    <w:tmpl w:val="C700DEBC"/>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1123FF"/>
    <w:multiLevelType w:val="hybridMultilevel"/>
    <w:tmpl w:val="5066C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82D0E5C"/>
    <w:multiLevelType w:val="hybridMultilevel"/>
    <w:tmpl w:val="0A7226C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835513"/>
    <w:multiLevelType w:val="hybridMultilevel"/>
    <w:tmpl w:val="05EC6856"/>
    <w:lvl w:ilvl="0" w:tplc="0C09000F">
      <w:start w:val="5"/>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9601282"/>
    <w:multiLevelType w:val="hybridMultilevel"/>
    <w:tmpl w:val="60B4482C"/>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3A26A8"/>
    <w:multiLevelType w:val="multilevel"/>
    <w:tmpl w:val="92CE8868"/>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EC7386E"/>
    <w:multiLevelType w:val="hybridMultilevel"/>
    <w:tmpl w:val="4394178E"/>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876EC2"/>
    <w:multiLevelType w:val="hybridMultilevel"/>
    <w:tmpl w:val="D4E85EF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5A6E78"/>
    <w:multiLevelType w:val="hybridMultilevel"/>
    <w:tmpl w:val="007A90F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5102F3"/>
    <w:multiLevelType w:val="hybridMultilevel"/>
    <w:tmpl w:val="FC40E978"/>
    <w:lvl w:ilvl="0" w:tplc="363ADE90">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504A1B"/>
    <w:multiLevelType w:val="hybridMultilevel"/>
    <w:tmpl w:val="4A169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1C6F9D"/>
    <w:multiLevelType w:val="hybridMultilevel"/>
    <w:tmpl w:val="F664E6DC"/>
    <w:lvl w:ilvl="0" w:tplc="8D1A9CF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C02785"/>
    <w:multiLevelType w:val="hybridMultilevel"/>
    <w:tmpl w:val="B71C5234"/>
    <w:lvl w:ilvl="0" w:tplc="9FF624DE">
      <w:start w:val="1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B768C7"/>
    <w:multiLevelType w:val="hybridMultilevel"/>
    <w:tmpl w:val="28C8F1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CDE2827"/>
    <w:multiLevelType w:val="hybridMultilevel"/>
    <w:tmpl w:val="3D9E205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
  </w:num>
  <w:num w:numId="4">
    <w:abstractNumId w:val="26"/>
  </w:num>
  <w:num w:numId="5">
    <w:abstractNumId w:val="9"/>
  </w:num>
  <w:num w:numId="6">
    <w:abstractNumId w:val="15"/>
  </w:num>
  <w:num w:numId="7">
    <w:abstractNumId w:val="4"/>
  </w:num>
  <w:num w:numId="8">
    <w:abstractNumId w:val="17"/>
  </w:num>
  <w:num w:numId="9">
    <w:abstractNumId w:val="27"/>
  </w:num>
  <w:num w:numId="10">
    <w:abstractNumId w:val="23"/>
  </w:num>
  <w:num w:numId="11">
    <w:abstractNumId w:val="2"/>
  </w:num>
  <w:num w:numId="12">
    <w:abstractNumId w:val="8"/>
  </w:num>
  <w:num w:numId="13">
    <w:abstractNumId w:val="6"/>
  </w:num>
  <w:num w:numId="14">
    <w:abstractNumId w:val="24"/>
  </w:num>
  <w:num w:numId="15">
    <w:abstractNumId w:val="22"/>
  </w:num>
  <w:num w:numId="16">
    <w:abstractNumId w:val="0"/>
  </w:num>
  <w:num w:numId="17">
    <w:abstractNumId w:val="3"/>
  </w:num>
  <w:num w:numId="18">
    <w:abstractNumId w:val="21"/>
  </w:num>
  <w:num w:numId="19">
    <w:abstractNumId w:val="5"/>
  </w:num>
  <w:num w:numId="20">
    <w:abstractNumId w:val="11"/>
  </w:num>
  <w:num w:numId="21">
    <w:abstractNumId w:val="19"/>
  </w:num>
  <w:num w:numId="22">
    <w:abstractNumId w:val="13"/>
  </w:num>
  <w:num w:numId="23">
    <w:abstractNumId w:val="10"/>
  </w:num>
  <w:num w:numId="24">
    <w:abstractNumId w:val="20"/>
  </w:num>
  <w:num w:numId="25">
    <w:abstractNumId w:val="14"/>
  </w:num>
  <w:num w:numId="26">
    <w:abstractNumId w:val="16"/>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1C4E"/>
    <w:rsid w:val="00003EEF"/>
    <w:rsid w:val="00006478"/>
    <w:rsid w:val="0002212A"/>
    <w:rsid w:val="00023CBD"/>
    <w:rsid w:val="00034FD6"/>
    <w:rsid w:val="00041C9C"/>
    <w:rsid w:val="00051C65"/>
    <w:rsid w:val="00056BA6"/>
    <w:rsid w:val="000645FE"/>
    <w:rsid w:val="00067433"/>
    <w:rsid w:val="000675C4"/>
    <w:rsid w:val="00067BA3"/>
    <w:rsid w:val="00092915"/>
    <w:rsid w:val="000A04C7"/>
    <w:rsid w:val="000A2960"/>
    <w:rsid w:val="000B2AF2"/>
    <w:rsid w:val="000B3065"/>
    <w:rsid w:val="000C0191"/>
    <w:rsid w:val="000D4F02"/>
    <w:rsid w:val="000E45AF"/>
    <w:rsid w:val="000E5B87"/>
    <w:rsid w:val="000F4A6D"/>
    <w:rsid w:val="00103A22"/>
    <w:rsid w:val="00114E7B"/>
    <w:rsid w:val="00115207"/>
    <w:rsid w:val="001218A0"/>
    <w:rsid w:val="00127B20"/>
    <w:rsid w:val="00173450"/>
    <w:rsid w:val="00176E1F"/>
    <w:rsid w:val="00191CC5"/>
    <w:rsid w:val="001B4812"/>
    <w:rsid w:val="001C3E93"/>
    <w:rsid w:val="001D6082"/>
    <w:rsid w:val="002059D0"/>
    <w:rsid w:val="0021526C"/>
    <w:rsid w:val="00232441"/>
    <w:rsid w:val="0023772A"/>
    <w:rsid w:val="00240B7E"/>
    <w:rsid w:val="0024173B"/>
    <w:rsid w:val="00244556"/>
    <w:rsid w:val="0024634D"/>
    <w:rsid w:val="0027140F"/>
    <w:rsid w:val="00271FC7"/>
    <w:rsid w:val="002A3750"/>
    <w:rsid w:val="002C3B3F"/>
    <w:rsid w:val="002D200B"/>
    <w:rsid w:val="002E7EDF"/>
    <w:rsid w:val="002F605A"/>
    <w:rsid w:val="00306139"/>
    <w:rsid w:val="00317BBF"/>
    <w:rsid w:val="00330005"/>
    <w:rsid w:val="00352493"/>
    <w:rsid w:val="0036177E"/>
    <w:rsid w:val="0039721F"/>
    <w:rsid w:val="00397BA9"/>
    <w:rsid w:val="003A1756"/>
    <w:rsid w:val="003B5C18"/>
    <w:rsid w:val="003C0DEE"/>
    <w:rsid w:val="00401BC5"/>
    <w:rsid w:val="00403107"/>
    <w:rsid w:val="00425DEF"/>
    <w:rsid w:val="004279ED"/>
    <w:rsid w:val="00427F95"/>
    <w:rsid w:val="00433F57"/>
    <w:rsid w:val="004445E2"/>
    <w:rsid w:val="00473662"/>
    <w:rsid w:val="00474538"/>
    <w:rsid w:val="004A1FF8"/>
    <w:rsid w:val="004B3781"/>
    <w:rsid w:val="004B6008"/>
    <w:rsid w:val="004D0185"/>
    <w:rsid w:val="004F0A9A"/>
    <w:rsid w:val="0051180D"/>
    <w:rsid w:val="00566CDC"/>
    <w:rsid w:val="005976E9"/>
    <w:rsid w:val="005A2377"/>
    <w:rsid w:val="005A3446"/>
    <w:rsid w:val="005A4557"/>
    <w:rsid w:val="005C6997"/>
    <w:rsid w:val="005E1639"/>
    <w:rsid w:val="005E3DC9"/>
    <w:rsid w:val="00602221"/>
    <w:rsid w:val="006032BD"/>
    <w:rsid w:val="006052F0"/>
    <w:rsid w:val="0061052C"/>
    <w:rsid w:val="00611064"/>
    <w:rsid w:val="00617AA1"/>
    <w:rsid w:val="00631052"/>
    <w:rsid w:val="00646310"/>
    <w:rsid w:val="00691708"/>
    <w:rsid w:val="006945A3"/>
    <w:rsid w:val="006B78EF"/>
    <w:rsid w:val="006E1BAC"/>
    <w:rsid w:val="006F28F5"/>
    <w:rsid w:val="006F7C23"/>
    <w:rsid w:val="00704BB4"/>
    <w:rsid w:val="00716C95"/>
    <w:rsid w:val="00727BEE"/>
    <w:rsid w:val="007308EF"/>
    <w:rsid w:val="00753D44"/>
    <w:rsid w:val="0076176E"/>
    <w:rsid w:val="00772164"/>
    <w:rsid w:val="00790AAB"/>
    <w:rsid w:val="00791670"/>
    <w:rsid w:val="007A17A3"/>
    <w:rsid w:val="007A5373"/>
    <w:rsid w:val="007B3ED9"/>
    <w:rsid w:val="007D5587"/>
    <w:rsid w:val="00802D17"/>
    <w:rsid w:val="00802F90"/>
    <w:rsid w:val="00810B95"/>
    <w:rsid w:val="008139B3"/>
    <w:rsid w:val="00834C7E"/>
    <w:rsid w:val="0088436D"/>
    <w:rsid w:val="0089440B"/>
    <w:rsid w:val="00897514"/>
    <w:rsid w:val="008C240E"/>
    <w:rsid w:val="008D3D76"/>
    <w:rsid w:val="008E7C1A"/>
    <w:rsid w:val="008E7DD2"/>
    <w:rsid w:val="008F7575"/>
    <w:rsid w:val="00924BDF"/>
    <w:rsid w:val="00936D19"/>
    <w:rsid w:val="00953807"/>
    <w:rsid w:val="00980443"/>
    <w:rsid w:val="00982690"/>
    <w:rsid w:val="009A2FA0"/>
    <w:rsid w:val="009A3F0D"/>
    <w:rsid w:val="009E171D"/>
    <w:rsid w:val="009F47E9"/>
    <w:rsid w:val="00A123F8"/>
    <w:rsid w:val="00A1481E"/>
    <w:rsid w:val="00A20978"/>
    <w:rsid w:val="00A22AC2"/>
    <w:rsid w:val="00A22E10"/>
    <w:rsid w:val="00A31A32"/>
    <w:rsid w:val="00A47BCF"/>
    <w:rsid w:val="00A53627"/>
    <w:rsid w:val="00A84551"/>
    <w:rsid w:val="00AA1695"/>
    <w:rsid w:val="00AB373D"/>
    <w:rsid w:val="00AC4419"/>
    <w:rsid w:val="00AD28FE"/>
    <w:rsid w:val="00AD4780"/>
    <w:rsid w:val="00AF0594"/>
    <w:rsid w:val="00B06358"/>
    <w:rsid w:val="00B13361"/>
    <w:rsid w:val="00B55B8A"/>
    <w:rsid w:val="00B641BA"/>
    <w:rsid w:val="00B651E4"/>
    <w:rsid w:val="00B87D9F"/>
    <w:rsid w:val="00B95217"/>
    <w:rsid w:val="00BB01C2"/>
    <w:rsid w:val="00BC093C"/>
    <w:rsid w:val="00BC3FA8"/>
    <w:rsid w:val="00BD5BDE"/>
    <w:rsid w:val="00BE2052"/>
    <w:rsid w:val="00BE2356"/>
    <w:rsid w:val="00BE3E3E"/>
    <w:rsid w:val="00BE6AB9"/>
    <w:rsid w:val="00BF11F8"/>
    <w:rsid w:val="00BF4EBE"/>
    <w:rsid w:val="00C07E1B"/>
    <w:rsid w:val="00C26603"/>
    <w:rsid w:val="00C3072F"/>
    <w:rsid w:val="00C55937"/>
    <w:rsid w:val="00C93CA0"/>
    <w:rsid w:val="00CA74B0"/>
    <w:rsid w:val="00CA7532"/>
    <w:rsid w:val="00CB08AA"/>
    <w:rsid w:val="00CB0E25"/>
    <w:rsid w:val="00CD0DFB"/>
    <w:rsid w:val="00CD7352"/>
    <w:rsid w:val="00CE40F3"/>
    <w:rsid w:val="00D06723"/>
    <w:rsid w:val="00D237A8"/>
    <w:rsid w:val="00D2402B"/>
    <w:rsid w:val="00D4205B"/>
    <w:rsid w:val="00D619E8"/>
    <w:rsid w:val="00D63BBC"/>
    <w:rsid w:val="00D644B1"/>
    <w:rsid w:val="00D909ED"/>
    <w:rsid w:val="00DC4C42"/>
    <w:rsid w:val="00DE02EC"/>
    <w:rsid w:val="00DE40D3"/>
    <w:rsid w:val="00DF068E"/>
    <w:rsid w:val="00E04911"/>
    <w:rsid w:val="00E14036"/>
    <w:rsid w:val="00E214C7"/>
    <w:rsid w:val="00E24B9A"/>
    <w:rsid w:val="00E31E1B"/>
    <w:rsid w:val="00E3208F"/>
    <w:rsid w:val="00E340F1"/>
    <w:rsid w:val="00E346DF"/>
    <w:rsid w:val="00E55DCF"/>
    <w:rsid w:val="00E568B5"/>
    <w:rsid w:val="00E67048"/>
    <w:rsid w:val="00E83C98"/>
    <w:rsid w:val="00E85C36"/>
    <w:rsid w:val="00E8744C"/>
    <w:rsid w:val="00EB3D47"/>
    <w:rsid w:val="00EB5888"/>
    <w:rsid w:val="00EB7741"/>
    <w:rsid w:val="00EC76F1"/>
    <w:rsid w:val="00EE14F3"/>
    <w:rsid w:val="00EE2436"/>
    <w:rsid w:val="00EE4590"/>
    <w:rsid w:val="00F516EB"/>
    <w:rsid w:val="00F53F4B"/>
    <w:rsid w:val="00F868E6"/>
    <w:rsid w:val="00F87A44"/>
    <w:rsid w:val="00FA2CF1"/>
    <w:rsid w:val="00FA3327"/>
    <w:rsid w:val="00FA3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81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B3"/>
    <w:rPr>
      <w:rFonts w:ascii="Tahoma" w:hAnsi="Tahoma" w:cs="Tahoma"/>
      <w:sz w:val="16"/>
      <w:szCs w:val="16"/>
    </w:rPr>
  </w:style>
  <w:style w:type="paragraph" w:styleId="ListParagraph">
    <w:name w:val="List Paragraph"/>
    <w:basedOn w:val="Normal"/>
    <w:uiPriority w:val="34"/>
    <w:qFormat/>
    <w:rsid w:val="008139B3"/>
    <w:pPr>
      <w:ind w:left="720"/>
      <w:contextualSpacing/>
    </w:pPr>
  </w:style>
  <w:style w:type="character" w:styleId="Hyperlink">
    <w:name w:val="Hyperlink"/>
    <w:basedOn w:val="DefaultParagraphFont"/>
    <w:uiPriority w:val="99"/>
    <w:unhideWhenUsed/>
    <w:rsid w:val="008139B3"/>
    <w:rPr>
      <w:color w:val="0000FF" w:themeColor="hyperlink"/>
      <w:u w:val="single"/>
    </w:rPr>
  </w:style>
  <w:style w:type="character" w:styleId="FollowedHyperlink">
    <w:name w:val="FollowedHyperlink"/>
    <w:basedOn w:val="DefaultParagraphFont"/>
    <w:uiPriority w:val="99"/>
    <w:semiHidden/>
    <w:unhideWhenUsed/>
    <w:rsid w:val="0051180D"/>
    <w:rPr>
      <w:color w:val="800080" w:themeColor="followedHyperlink"/>
      <w:u w:val="single"/>
    </w:rPr>
  </w:style>
  <w:style w:type="character" w:customStyle="1" w:styleId="watch-title">
    <w:name w:val="watch-title"/>
    <w:basedOn w:val="DefaultParagraphFont"/>
    <w:rsid w:val="00A31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81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B3"/>
    <w:rPr>
      <w:rFonts w:ascii="Tahoma" w:hAnsi="Tahoma" w:cs="Tahoma"/>
      <w:sz w:val="16"/>
      <w:szCs w:val="16"/>
    </w:rPr>
  </w:style>
  <w:style w:type="paragraph" w:styleId="ListParagraph">
    <w:name w:val="List Paragraph"/>
    <w:basedOn w:val="Normal"/>
    <w:uiPriority w:val="34"/>
    <w:qFormat/>
    <w:rsid w:val="008139B3"/>
    <w:pPr>
      <w:ind w:left="720"/>
      <w:contextualSpacing/>
    </w:pPr>
  </w:style>
  <w:style w:type="character" w:styleId="Hyperlink">
    <w:name w:val="Hyperlink"/>
    <w:basedOn w:val="DefaultParagraphFont"/>
    <w:uiPriority w:val="99"/>
    <w:unhideWhenUsed/>
    <w:rsid w:val="008139B3"/>
    <w:rPr>
      <w:color w:val="0000FF" w:themeColor="hyperlink"/>
      <w:u w:val="single"/>
    </w:rPr>
  </w:style>
  <w:style w:type="character" w:styleId="FollowedHyperlink">
    <w:name w:val="FollowedHyperlink"/>
    <w:basedOn w:val="DefaultParagraphFont"/>
    <w:uiPriority w:val="99"/>
    <w:semiHidden/>
    <w:unhideWhenUsed/>
    <w:rsid w:val="0051180D"/>
    <w:rPr>
      <w:color w:val="800080" w:themeColor="followedHyperlink"/>
      <w:u w:val="single"/>
    </w:rPr>
  </w:style>
  <w:style w:type="character" w:customStyle="1" w:styleId="watch-title">
    <w:name w:val="watch-title"/>
    <w:basedOn w:val="DefaultParagraphFont"/>
    <w:rsid w:val="00A3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11780">
      <w:bodyDiv w:val="1"/>
      <w:marLeft w:val="0"/>
      <w:marRight w:val="0"/>
      <w:marTop w:val="0"/>
      <w:marBottom w:val="0"/>
      <w:divBdr>
        <w:top w:val="none" w:sz="0" w:space="0" w:color="auto"/>
        <w:left w:val="none" w:sz="0" w:space="0" w:color="auto"/>
        <w:bottom w:val="none" w:sz="0" w:space="0" w:color="auto"/>
        <w:right w:val="none" w:sz="0" w:space="0" w:color="auto"/>
      </w:divBdr>
    </w:div>
    <w:div w:id="529030480">
      <w:bodyDiv w:val="1"/>
      <w:marLeft w:val="0"/>
      <w:marRight w:val="0"/>
      <w:marTop w:val="0"/>
      <w:marBottom w:val="0"/>
      <w:divBdr>
        <w:top w:val="none" w:sz="0" w:space="0" w:color="auto"/>
        <w:left w:val="none" w:sz="0" w:space="0" w:color="auto"/>
        <w:bottom w:val="none" w:sz="0" w:space="0" w:color="auto"/>
        <w:right w:val="none" w:sz="0" w:space="0" w:color="auto"/>
      </w:divBdr>
    </w:div>
    <w:div w:id="6261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uts.edu.au/research-and-teaching/our-research/australian-centre-public-history/projects-and-publications-0" TargetMode="External"/><Relationship Id="rId26" Type="http://schemas.openxmlformats.org/officeDocument/2006/relationships/hyperlink" Target="http://apjjf.org/-Takashi-YOSHIDA/2594/article.html" TargetMode="External"/><Relationship Id="rId3" Type="http://schemas.microsoft.com/office/2007/relationships/stylesWithEffects" Target="stylesWithEffects.xml"/><Relationship Id="rId21" Type="http://schemas.openxmlformats.org/officeDocument/2006/relationships/hyperlink" Target="https://www.pri.org/stories/2013-12-26/why-yasukuni-shrine-so-controversi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warmemorialsregister.nsw.gov.au/" TargetMode="External"/><Relationship Id="rId25" Type="http://schemas.openxmlformats.org/officeDocument/2006/relationships/hyperlink" Target="http://www.japantimes.co.jp/community/2014/07/28/issues/trip-around-yushukan-japans-font-discord/"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yasukuni.or.jp/englis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qz.com/223897/the-story-of-world-war-ii-according-to-japans-controversial-war-museu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theatlantic.com/international/archive/2014/01/stop-talking-about-yasukuni-the-real-problem-is-y-sh-kan/282757/"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ncph.org/what-is-public-history/about-the-fiel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youtube.com/watch?v=Zoz5EKtFtmQ"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dc:creator>
  <cp:lastModifiedBy>Emmanuel Karayiannis</cp:lastModifiedBy>
  <cp:revision>21</cp:revision>
  <cp:lastPrinted>2017-05-05T04:28:00Z</cp:lastPrinted>
  <dcterms:created xsi:type="dcterms:W3CDTF">2017-04-28T04:18:00Z</dcterms:created>
  <dcterms:modified xsi:type="dcterms:W3CDTF">2017-05-11T05:26:00Z</dcterms:modified>
</cp:coreProperties>
</file>