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7F" w:rsidRPr="00BB213F" w:rsidRDefault="00E3311C" w:rsidP="00CB0F7F">
      <w:pPr>
        <w:pStyle w:val="Heading1"/>
        <w:jc w:val="center"/>
      </w:pPr>
      <w:bookmarkStart w:id="0" w:name="_GoBack"/>
      <w:bookmarkEnd w:id="0"/>
      <w:r w:rsidRPr="00BB213F">
        <w:t xml:space="preserve">Sample </w:t>
      </w:r>
      <w:r w:rsidR="00CB0F7F" w:rsidRPr="00BB213F">
        <w:t xml:space="preserve">Scope and Sequence: </w:t>
      </w:r>
      <w:r w:rsidRPr="00BB213F">
        <w:t>Earth and Environmental Science</w:t>
      </w:r>
      <w:r w:rsidR="00CB0F7F" w:rsidRPr="00BB213F">
        <w:t xml:space="preserve"> – Year 11</w:t>
      </w:r>
    </w:p>
    <w:p w:rsidR="00E3311C" w:rsidRPr="00BB213F" w:rsidRDefault="00E3311C" w:rsidP="00E3311C">
      <w:pPr>
        <w:jc w:val="center"/>
        <w:rPr>
          <w:rFonts w:ascii="Arial" w:hAnsi="Arial" w:cs="Arial"/>
          <w:b/>
          <w:i/>
          <w:lang w:eastAsia="en-AU"/>
        </w:rPr>
      </w:pPr>
      <w:r w:rsidRPr="00BB213F">
        <w:rPr>
          <w:rFonts w:ascii="Arial" w:hAnsi="Arial" w:cs="Arial"/>
          <w:b/>
          <w:i/>
          <w:lang w:eastAsia="en-AU"/>
        </w:rPr>
        <w:t>Sample for implementation for Year 11 from 2018</w:t>
      </w:r>
    </w:p>
    <w:tbl>
      <w:tblPr>
        <w:tblW w:w="1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"/>
        <w:gridCol w:w="1504"/>
        <w:gridCol w:w="1506"/>
        <w:gridCol w:w="1506"/>
        <w:gridCol w:w="1506"/>
        <w:gridCol w:w="1506"/>
        <w:gridCol w:w="1506"/>
        <w:gridCol w:w="1506"/>
        <w:gridCol w:w="1508"/>
        <w:gridCol w:w="1506"/>
        <w:gridCol w:w="1506"/>
      </w:tblGrid>
      <w:tr w:rsidR="00973324" w:rsidRPr="00B112E1" w:rsidTr="00E3311C">
        <w:tc>
          <w:tcPr>
            <w:tcW w:w="340" w:type="dxa"/>
            <w:vMerge w:val="restart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973324" w:rsidRPr="00B112E1" w:rsidRDefault="00973324" w:rsidP="0097332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Term 1</w:t>
            </w:r>
          </w:p>
        </w:tc>
        <w:tc>
          <w:tcPr>
            <w:tcW w:w="15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1</w:t>
            </w:r>
          </w:p>
        </w:tc>
        <w:tc>
          <w:tcPr>
            <w:tcW w:w="15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2</w:t>
            </w:r>
          </w:p>
        </w:tc>
        <w:tc>
          <w:tcPr>
            <w:tcW w:w="15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3</w:t>
            </w:r>
          </w:p>
        </w:tc>
        <w:tc>
          <w:tcPr>
            <w:tcW w:w="15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4</w:t>
            </w:r>
          </w:p>
        </w:tc>
        <w:tc>
          <w:tcPr>
            <w:tcW w:w="15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5</w:t>
            </w:r>
          </w:p>
        </w:tc>
        <w:tc>
          <w:tcPr>
            <w:tcW w:w="15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6</w:t>
            </w:r>
          </w:p>
        </w:tc>
        <w:tc>
          <w:tcPr>
            <w:tcW w:w="15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7</w:t>
            </w:r>
          </w:p>
        </w:tc>
        <w:tc>
          <w:tcPr>
            <w:tcW w:w="15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8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9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10</w:t>
            </w:r>
          </w:p>
        </w:tc>
      </w:tr>
      <w:tr w:rsidR="00973324" w:rsidRPr="00B112E1" w:rsidTr="00E3311C">
        <w:trPr>
          <w:trHeight w:val="320"/>
        </w:trPr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48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Module 1: Earth’s resources</w:t>
            </w:r>
          </w:p>
          <w:p w:rsidR="00973324" w:rsidRPr="00B112E1" w:rsidRDefault="00973324" w:rsidP="003721A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>Students</w:t>
            </w:r>
            <w:r w:rsidRPr="00B112E1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 xml:space="preserve"> investigate the fundamentals of Geology (rocks and minerals) as well as some of the guiding principles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 xml:space="preserve"> of Geology</w:t>
            </w:r>
            <w:r w:rsidRPr="00B112E1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>They will d</w:t>
            </w:r>
            <w:r w:rsidRPr="00B112E1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 xml:space="preserve">escribe the key features of the Earth’s systems, including the geosphere, atmosphere, hydrosphere and biosphere and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 xml:space="preserve">explain </w:t>
            </w:r>
            <w:r w:rsidRPr="00B112E1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>how they are interrelated.</w:t>
            </w:r>
          </w:p>
        </w:tc>
        <w:tc>
          <w:tcPr>
            <w:tcW w:w="30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0B157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Module 2: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Plate Tectonics</w:t>
            </w:r>
          </w:p>
          <w:p w:rsidR="00973324" w:rsidRPr="00B112E1" w:rsidRDefault="00973324" w:rsidP="00CB0F7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3D4786" w:rsidRPr="00B112E1" w:rsidTr="00E3311C">
        <w:trPr>
          <w:trHeight w:val="320"/>
        </w:trPr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4786" w:rsidRPr="00B112E1" w:rsidRDefault="003D4786" w:rsidP="00CB0F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48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4786" w:rsidRPr="00B112E1" w:rsidRDefault="003D4786" w:rsidP="00EC74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Depth Study: </w:t>
            </w:r>
            <w:r w:rsidRPr="003D4786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>15 hours –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D4786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>Field</w:t>
            </w:r>
            <w:r w:rsidR="00EC74C8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>work</w:t>
            </w:r>
            <w:r w:rsidRPr="003D4786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 xml:space="preserve"> and report</w:t>
            </w:r>
          </w:p>
        </w:tc>
        <w:tc>
          <w:tcPr>
            <w:tcW w:w="30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4786" w:rsidRPr="00B112E1" w:rsidRDefault="003D4786" w:rsidP="000B157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973324" w:rsidRPr="00B112E1" w:rsidTr="00E3311C">
        <w:trPr>
          <w:trHeight w:val="320"/>
        </w:trPr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48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F964B4" w:rsidP="00CB0F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 xml:space="preserve">EES11/12-1, </w:t>
            </w:r>
            <w:r w:rsidR="00973324" w:rsidRPr="00B112E1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 xml:space="preserve">EES11/12-3, EES11/12-4, EES11/12-5,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 xml:space="preserve">EES11-7, </w:t>
            </w:r>
            <w:r w:rsidR="00973324" w:rsidRPr="00B112E1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>EES11-8</w:t>
            </w:r>
          </w:p>
        </w:tc>
        <w:tc>
          <w:tcPr>
            <w:tcW w:w="30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8F7575" w:rsidRPr="00B112E1" w:rsidRDefault="008F7575">
      <w:pPr>
        <w:rPr>
          <w:rFonts w:ascii="Arial" w:hAnsi="Arial" w:cs="Arial"/>
          <w:sz w:val="20"/>
          <w:szCs w:val="20"/>
        </w:rPr>
      </w:pPr>
    </w:p>
    <w:tbl>
      <w:tblPr>
        <w:tblW w:w="1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"/>
        <w:gridCol w:w="1505"/>
        <w:gridCol w:w="1506"/>
        <w:gridCol w:w="1506"/>
        <w:gridCol w:w="1506"/>
        <w:gridCol w:w="1506"/>
        <w:gridCol w:w="1543"/>
        <w:gridCol w:w="1469"/>
        <w:gridCol w:w="1506"/>
        <w:gridCol w:w="1506"/>
        <w:gridCol w:w="1506"/>
      </w:tblGrid>
      <w:tr w:rsidR="00973324" w:rsidRPr="00B112E1" w:rsidTr="00973324">
        <w:tc>
          <w:tcPr>
            <w:tcW w:w="341" w:type="dxa"/>
            <w:vMerge w:val="restart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973324" w:rsidRPr="00B112E1" w:rsidRDefault="00973324" w:rsidP="0097332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Term 2</w:t>
            </w:r>
          </w:p>
        </w:tc>
        <w:tc>
          <w:tcPr>
            <w:tcW w:w="1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1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2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3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4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5</w:t>
            </w:r>
          </w:p>
        </w:tc>
        <w:tc>
          <w:tcPr>
            <w:tcW w:w="15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6</w:t>
            </w:r>
          </w:p>
        </w:tc>
        <w:tc>
          <w:tcPr>
            <w:tcW w:w="14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7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8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9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10</w:t>
            </w:r>
          </w:p>
        </w:tc>
      </w:tr>
      <w:tr w:rsidR="00973324" w:rsidRPr="00B112E1" w:rsidTr="00973324"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72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BB213F" w:rsidP="00CB0F7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Module 2: </w:t>
            </w:r>
            <w:r w:rsidR="00973324"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Plate Tectonics</w:t>
            </w:r>
            <w:r w:rsidR="0097332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:rsidR="00973324" w:rsidRPr="00B112E1" w:rsidRDefault="00973324" w:rsidP="003721A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>Students investigate</w:t>
            </w:r>
            <w:r w:rsidRPr="00B112E1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 xml:space="preserve"> the evidence for the theory of plate tectonics and how movements in the Earth’s crust can be monitored and used to predict Earth events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598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Module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3: Energy Transformations</w:t>
            </w:r>
          </w:p>
          <w:p w:rsidR="00973324" w:rsidRPr="00B112E1" w:rsidRDefault="00973324" w:rsidP="003721A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>Students investigate the</w:t>
            </w:r>
            <w:r w:rsidRPr="00B112E1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 xml:space="preserve"> energy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 xml:space="preserve"> transformations that move</w:t>
            </w:r>
            <w:r w:rsidRPr="00B112E1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 xml:space="preserve"> tectonic plates and those </w:t>
            </w:r>
            <w:r w:rsidRPr="00B112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that occur between the atmosphere, oceans and land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that </w:t>
            </w:r>
            <w:r w:rsidRPr="00B112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generate weather and climate phenomena.</w:t>
            </w:r>
          </w:p>
        </w:tc>
      </w:tr>
      <w:tr w:rsidR="00973324" w:rsidRPr="00B112E1" w:rsidTr="00973324"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72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>ESS11/12-1, ESS11/12-2, ESS11/12-3, ESS11/12-4, ESS11/12-5, ESS11-9</w:t>
            </w:r>
          </w:p>
        </w:tc>
        <w:tc>
          <w:tcPr>
            <w:tcW w:w="598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>ESS11/12-5, ESS11/12-6, ESS11/12-7,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112E1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>ESS11-10</w:t>
            </w:r>
          </w:p>
        </w:tc>
      </w:tr>
    </w:tbl>
    <w:p w:rsidR="00CB0F7F" w:rsidRPr="00B112E1" w:rsidRDefault="00CB0F7F">
      <w:pPr>
        <w:rPr>
          <w:rFonts w:ascii="Arial" w:hAnsi="Arial" w:cs="Arial"/>
          <w:sz w:val="20"/>
          <w:szCs w:val="20"/>
        </w:rPr>
      </w:pPr>
    </w:p>
    <w:tbl>
      <w:tblPr>
        <w:tblW w:w="1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"/>
        <w:gridCol w:w="1505"/>
        <w:gridCol w:w="1506"/>
        <w:gridCol w:w="1525"/>
        <w:gridCol w:w="1487"/>
        <w:gridCol w:w="1506"/>
        <w:gridCol w:w="1506"/>
        <w:gridCol w:w="1506"/>
        <w:gridCol w:w="1506"/>
        <w:gridCol w:w="1506"/>
        <w:gridCol w:w="1506"/>
      </w:tblGrid>
      <w:tr w:rsidR="00973324" w:rsidRPr="00B112E1" w:rsidTr="00973324">
        <w:tc>
          <w:tcPr>
            <w:tcW w:w="341" w:type="dxa"/>
            <w:vMerge w:val="restart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973324" w:rsidRPr="00B112E1" w:rsidRDefault="00973324" w:rsidP="0097332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Term 3</w:t>
            </w:r>
          </w:p>
        </w:tc>
        <w:tc>
          <w:tcPr>
            <w:tcW w:w="1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1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2</w:t>
            </w:r>
          </w:p>
        </w:tc>
        <w:tc>
          <w:tcPr>
            <w:tcW w:w="15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3</w:t>
            </w:r>
          </w:p>
        </w:tc>
        <w:tc>
          <w:tcPr>
            <w:tcW w:w="14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4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5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6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7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8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9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Week 10</w:t>
            </w:r>
          </w:p>
        </w:tc>
      </w:tr>
      <w:tr w:rsidR="00973324" w:rsidRPr="00B112E1" w:rsidTr="00973324"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3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E3311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Module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112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3: Energy </w:t>
            </w:r>
            <w:r w:rsidRPr="0097332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Transformations </w:t>
            </w:r>
          </w:p>
        </w:tc>
        <w:tc>
          <w:tcPr>
            <w:tcW w:w="10523" w:type="dxa"/>
            <w:gridSpan w:val="7"/>
          </w:tcPr>
          <w:p w:rsidR="00973324" w:rsidRDefault="00973324" w:rsidP="000B157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0B157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Module 4: Human Impacts</w:t>
            </w:r>
          </w:p>
          <w:p w:rsidR="00973324" w:rsidRPr="000B1576" w:rsidRDefault="00973324" w:rsidP="00144B2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>Students investigate the effects of humans on the Earth’s resources and environment and how these effects can be mitigated to maintain a sustainable future.</w:t>
            </w:r>
          </w:p>
        </w:tc>
      </w:tr>
      <w:tr w:rsidR="00973324" w:rsidRPr="00B112E1" w:rsidTr="00973324"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3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324" w:rsidRPr="00B112E1" w:rsidRDefault="00973324" w:rsidP="00CB0F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23" w:type="dxa"/>
            <w:gridSpan w:val="7"/>
          </w:tcPr>
          <w:p w:rsidR="00973324" w:rsidRPr="00B112E1" w:rsidRDefault="00973324" w:rsidP="00CB0F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B112E1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>ESS11/12-1, ESS11/12-2, ESS11/12-3, ESS11-11</w:t>
            </w:r>
          </w:p>
        </w:tc>
      </w:tr>
    </w:tbl>
    <w:p w:rsidR="00B112E1" w:rsidRPr="00B112E1" w:rsidRDefault="00B112E1">
      <w:pPr>
        <w:rPr>
          <w:rFonts w:ascii="Arial" w:hAnsi="Arial" w:cs="Arial"/>
          <w:sz w:val="20"/>
          <w:szCs w:val="20"/>
        </w:rPr>
      </w:pPr>
    </w:p>
    <w:sectPr w:rsidR="00B112E1" w:rsidRPr="00B112E1" w:rsidSect="00CB0F7F"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0A" w:rsidRDefault="00465B0A" w:rsidP="00973324">
      <w:pPr>
        <w:spacing w:after="0" w:line="240" w:lineRule="auto"/>
      </w:pPr>
      <w:r>
        <w:separator/>
      </w:r>
    </w:p>
  </w:endnote>
  <w:endnote w:type="continuationSeparator" w:id="0">
    <w:p w:rsidR="00465B0A" w:rsidRDefault="00465B0A" w:rsidP="0097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0A" w:rsidRDefault="00465B0A" w:rsidP="00973324">
      <w:pPr>
        <w:spacing w:after="0" w:line="240" w:lineRule="auto"/>
      </w:pPr>
      <w:r>
        <w:separator/>
      </w:r>
    </w:p>
  </w:footnote>
  <w:footnote w:type="continuationSeparator" w:id="0">
    <w:p w:rsidR="00465B0A" w:rsidRDefault="00465B0A" w:rsidP="00973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7F"/>
    <w:rsid w:val="000A04C7"/>
    <w:rsid w:val="000B1576"/>
    <w:rsid w:val="001017B0"/>
    <w:rsid w:val="00144B2B"/>
    <w:rsid w:val="001E3ABA"/>
    <w:rsid w:val="00246982"/>
    <w:rsid w:val="00326818"/>
    <w:rsid w:val="003721A3"/>
    <w:rsid w:val="00397F51"/>
    <w:rsid w:val="003D4786"/>
    <w:rsid w:val="00465B0A"/>
    <w:rsid w:val="004D0185"/>
    <w:rsid w:val="00502DB9"/>
    <w:rsid w:val="006A7448"/>
    <w:rsid w:val="0078435E"/>
    <w:rsid w:val="008F7575"/>
    <w:rsid w:val="00973324"/>
    <w:rsid w:val="009A3F0D"/>
    <w:rsid w:val="00A22E10"/>
    <w:rsid w:val="00AE1033"/>
    <w:rsid w:val="00B112E1"/>
    <w:rsid w:val="00BB213F"/>
    <w:rsid w:val="00BF3D50"/>
    <w:rsid w:val="00CB0F7F"/>
    <w:rsid w:val="00CF4BEB"/>
    <w:rsid w:val="00E3311C"/>
    <w:rsid w:val="00EC74C8"/>
    <w:rsid w:val="00F9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CB0F7F"/>
    <w:pPr>
      <w:keepNext/>
      <w:keepLines/>
      <w:outlineLvl w:val="0"/>
    </w:pPr>
    <w:rPr>
      <w:rFonts w:ascii="Arial" w:eastAsia="Arial" w:hAnsi="Arial" w:cs="Arial"/>
      <w:b/>
      <w:color w:val="000000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0F7F"/>
    <w:rPr>
      <w:rFonts w:ascii="Arial" w:eastAsia="Arial" w:hAnsi="Arial" w:cs="Arial"/>
      <w:b/>
      <w:color w:val="000000"/>
      <w:sz w:val="28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7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324"/>
  </w:style>
  <w:style w:type="paragraph" w:styleId="Footer">
    <w:name w:val="footer"/>
    <w:basedOn w:val="Normal"/>
    <w:link w:val="FooterChar"/>
    <w:uiPriority w:val="99"/>
    <w:unhideWhenUsed/>
    <w:rsid w:val="0097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324"/>
  </w:style>
  <w:style w:type="paragraph" w:styleId="BalloonText">
    <w:name w:val="Balloon Text"/>
    <w:basedOn w:val="Normal"/>
    <w:link w:val="BalloonTextChar"/>
    <w:uiPriority w:val="99"/>
    <w:semiHidden/>
    <w:unhideWhenUsed/>
    <w:rsid w:val="0097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CB0F7F"/>
    <w:pPr>
      <w:keepNext/>
      <w:keepLines/>
      <w:outlineLvl w:val="0"/>
    </w:pPr>
    <w:rPr>
      <w:rFonts w:ascii="Arial" w:eastAsia="Arial" w:hAnsi="Arial" w:cs="Arial"/>
      <w:b/>
      <w:color w:val="000000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0F7F"/>
    <w:rPr>
      <w:rFonts w:ascii="Arial" w:eastAsia="Arial" w:hAnsi="Arial" w:cs="Arial"/>
      <w:b/>
      <w:color w:val="000000"/>
      <w:sz w:val="28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7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324"/>
  </w:style>
  <w:style w:type="paragraph" w:styleId="Footer">
    <w:name w:val="footer"/>
    <w:basedOn w:val="Normal"/>
    <w:link w:val="FooterChar"/>
    <w:uiPriority w:val="99"/>
    <w:unhideWhenUsed/>
    <w:rsid w:val="0097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324"/>
  </w:style>
  <w:style w:type="paragraph" w:styleId="BalloonText">
    <w:name w:val="Balloon Text"/>
    <w:basedOn w:val="Normal"/>
    <w:link w:val="BalloonTextChar"/>
    <w:uiPriority w:val="99"/>
    <w:semiHidden/>
    <w:unhideWhenUsed/>
    <w:rsid w:val="0097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Earth and Environmental Science</dc:title>
  <dc:creator>NESA</dc:creator>
  <cp:lastModifiedBy>Lauren Wood</cp:lastModifiedBy>
  <cp:revision>8</cp:revision>
  <cp:lastPrinted>2017-03-28T01:22:00Z</cp:lastPrinted>
  <dcterms:created xsi:type="dcterms:W3CDTF">2017-03-27T07:49:00Z</dcterms:created>
  <dcterms:modified xsi:type="dcterms:W3CDTF">2017-03-28T02:32:00Z</dcterms:modified>
</cp:coreProperties>
</file>