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4DB2" w:rsidRDefault="00004DB2">
      <w:pPr>
        <w:pStyle w:val="Heading1"/>
      </w:pPr>
      <w:bookmarkStart w:id="0" w:name="_GoBack"/>
      <w:bookmarkEnd w:id="0"/>
    </w:p>
    <w:p w:rsidR="00E408EF" w:rsidRDefault="00167B3D">
      <w:pPr>
        <w:pStyle w:val="Heading1"/>
      </w:pPr>
      <w:r>
        <w:t>Sa</w:t>
      </w:r>
      <w:r w:rsidR="003648E8">
        <w:t>mple Scope and Sequence: Chemistry</w:t>
      </w:r>
      <w:r>
        <w:t xml:space="preserve"> – Year </w:t>
      </w:r>
      <w:r w:rsidR="003648E8">
        <w:t>12</w:t>
      </w:r>
    </w:p>
    <w:p w:rsidR="00357B7D" w:rsidRPr="00357B7D" w:rsidRDefault="00357B7D" w:rsidP="00357B7D">
      <w:pPr>
        <w:jc w:val="center"/>
        <w:rPr>
          <w:b/>
          <w:i/>
          <w:sz w:val="20"/>
          <w:szCs w:val="20"/>
        </w:rPr>
      </w:pPr>
      <w:r>
        <w:rPr>
          <w:b/>
          <w:i/>
          <w:sz w:val="20"/>
          <w:szCs w:val="20"/>
        </w:rPr>
        <w:t>Sample for implementation for Year 12 from Term 4, 2018</w:t>
      </w:r>
    </w:p>
    <w:tbl>
      <w:tblPr>
        <w:tblStyle w:val="a"/>
        <w:tblW w:w="15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
        <w:gridCol w:w="1506"/>
        <w:gridCol w:w="1506"/>
        <w:gridCol w:w="1506"/>
        <w:gridCol w:w="1507"/>
        <w:gridCol w:w="1506"/>
        <w:gridCol w:w="1506"/>
        <w:gridCol w:w="1507"/>
        <w:gridCol w:w="1506"/>
        <w:gridCol w:w="1506"/>
        <w:gridCol w:w="1507"/>
      </w:tblGrid>
      <w:tr w:rsidR="00E408EF" w:rsidTr="009B77DF">
        <w:tc>
          <w:tcPr>
            <w:tcW w:w="341" w:type="dxa"/>
            <w:vMerge w:val="restart"/>
            <w:shd w:val="clear" w:color="auto" w:fill="D9D9D9" w:themeFill="background1" w:themeFillShade="D9"/>
            <w:tcMar>
              <w:top w:w="57" w:type="dxa"/>
              <w:left w:w="57" w:type="dxa"/>
              <w:bottom w:w="57" w:type="dxa"/>
              <w:right w:w="57" w:type="dxa"/>
            </w:tcMar>
            <w:textDirection w:val="btLr"/>
            <w:vAlign w:val="center"/>
          </w:tcPr>
          <w:p w:rsidR="00E408EF" w:rsidRDefault="00167B3D" w:rsidP="009B77DF">
            <w:pPr>
              <w:ind w:left="113" w:right="113"/>
              <w:jc w:val="center"/>
            </w:pPr>
            <w:r>
              <w:rPr>
                <w:b/>
                <w:sz w:val="22"/>
                <w:szCs w:val="22"/>
              </w:rPr>
              <w:t>Term 4</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1</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2</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3</w:t>
            </w:r>
          </w:p>
        </w:tc>
        <w:tc>
          <w:tcPr>
            <w:tcW w:w="1507"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4</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5</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6</w:t>
            </w:r>
          </w:p>
        </w:tc>
        <w:tc>
          <w:tcPr>
            <w:tcW w:w="1507"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7</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8</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9</w:t>
            </w:r>
          </w:p>
        </w:tc>
        <w:tc>
          <w:tcPr>
            <w:tcW w:w="1507"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10</w:t>
            </w:r>
          </w:p>
        </w:tc>
      </w:tr>
      <w:tr w:rsidR="0016348D" w:rsidTr="009B77DF">
        <w:tc>
          <w:tcPr>
            <w:tcW w:w="341" w:type="dxa"/>
            <w:vMerge/>
            <w:shd w:val="clear" w:color="auto" w:fill="D9D9D9" w:themeFill="background1" w:themeFillShade="D9"/>
            <w:tcMar>
              <w:top w:w="57" w:type="dxa"/>
              <w:left w:w="57" w:type="dxa"/>
              <w:bottom w:w="57" w:type="dxa"/>
              <w:right w:w="57" w:type="dxa"/>
            </w:tcMar>
            <w:vAlign w:val="center"/>
          </w:tcPr>
          <w:p w:rsidR="0016348D" w:rsidRDefault="0016348D"/>
        </w:tc>
        <w:tc>
          <w:tcPr>
            <w:tcW w:w="15063" w:type="dxa"/>
            <w:gridSpan w:val="10"/>
            <w:shd w:val="clear" w:color="auto" w:fill="auto"/>
            <w:tcMar>
              <w:top w:w="57" w:type="dxa"/>
              <w:left w:w="57" w:type="dxa"/>
              <w:bottom w:w="57" w:type="dxa"/>
              <w:right w:w="57" w:type="dxa"/>
            </w:tcMar>
          </w:tcPr>
          <w:p w:rsidR="0016348D" w:rsidRPr="009B77DF" w:rsidRDefault="0016348D">
            <w:pPr>
              <w:rPr>
                <w:b/>
                <w:color w:val="auto"/>
                <w:sz w:val="20"/>
                <w:szCs w:val="20"/>
              </w:rPr>
            </w:pPr>
            <w:bookmarkStart w:id="1" w:name="_Toc465864940"/>
            <w:bookmarkStart w:id="2" w:name="_Toc466029514"/>
            <w:r w:rsidRPr="009B77DF">
              <w:rPr>
                <w:b/>
                <w:color w:val="auto"/>
                <w:sz w:val="20"/>
                <w:szCs w:val="20"/>
              </w:rPr>
              <w:t>Module 5: Equilibrium and Acid Reactions</w:t>
            </w:r>
            <w:bookmarkEnd w:id="1"/>
            <w:bookmarkEnd w:id="2"/>
          </w:p>
          <w:p w:rsidR="0016348D" w:rsidRPr="0016348D" w:rsidRDefault="0016348D" w:rsidP="009B77DF">
            <w:r w:rsidRPr="0016348D">
              <w:rPr>
                <w:sz w:val="16"/>
                <w:szCs w:val="16"/>
              </w:rPr>
              <w:t xml:space="preserve">Students </w:t>
            </w:r>
            <w:r w:rsidR="009B77DF">
              <w:rPr>
                <w:sz w:val="16"/>
                <w:szCs w:val="16"/>
              </w:rPr>
              <w:t>investigate</w:t>
            </w:r>
            <w:r w:rsidRPr="0016348D">
              <w:rPr>
                <w:sz w:val="16"/>
                <w:szCs w:val="16"/>
              </w:rPr>
              <w:t xml:space="preserve"> the effects of changes in temperature, concentration of chemicals and pressure on equilibrium systems, and consider that these can be predicted by applying Le Chatelier’s principle. Students make reliable predictions by comparing equilibrium calculations and equilibrium constants to determine whether a combination of two solutions will result in the formation of a precipitate.</w:t>
            </w:r>
            <w:r>
              <w:rPr>
                <w:sz w:val="16"/>
                <w:szCs w:val="16"/>
              </w:rPr>
              <w:t xml:space="preserve"> </w:t>
            </w:r>
          </w:p>
        </w:tc>
      </w:tr>
      <w:tr w:rsidR="0016348D" w:rsidTr="009B77DF">
        <w:tc>
          <w:tcPr>
            <w:tcW w:w="341" w:type="dxa"/>
            <w:vMerge/>
            <w:shd w:val="clear" w:color="auto" w:fill="D9D9D9" w:themeFill="background1" w:themeFillShade="D9"/>
            <w:tcMar>
              <w:top w:w="57" w:type="dxa"/>
              <w:left w:w="57" w:type="dxa"/>
              <w:bottom w:w="57" w:type="dxa"/>
              <w:right w:w="57" w:type="dxa"/>
            </w:tcMar>
            <w:vAlign w:val="center"/>
          </w:tcPr>
          <w:p w:rsidR="0016348D" w:rsidRDefault="0016348D"/>
        </w:tc>
        <w:tc>
          <w:tcPr>
            <w:tcW w:w="15063" w:type="dxa"/>
            <w:gridSpan w:val="10"/>
            <w:shd w:val="clear" w:color="auto" w:fill="auto"/>
            <w:tcMar>
              <w:top w:w="57" w:type="dxa"/>
              <w:left w:w="57" w:type="dxa"/>
              <w:bottom w:w="57" w:type="dxa"/>
              <w:right w:w="57" w:type="dxa"/>
            </w:tcMar>
          </w:tcPr>
          <w:p w:rsidR="0016348D" w:rsidRPr="008B1236" w:rsidRDefault="000E7414" w:rsidP="000E7414">
            <w:pPr>
              <w:rPr>
                <w:sz w:val="18"/>
                <w:szCs w:val="18"/>
              </w:rPr>
            </w:pPr>
            <w:r w:rsidRPr="002D6920">
              <w:rPr>
                <w:b/>
                <w:color w:val="auto"/>
                <w:sz w:val="18"/>
                <w:szCs w:val="18"/>
              </w:rPr>
              <w:t xml:space="preserve">Depth Study 1: </w:t>
            </w:r>
            <w:r w:rsidRPr="002D6920">
              <w:rPr>
                <w:sz w:val="18"/>
                <w:szCs w:val="18"/>
              </w:rPr>
              <w:t xml:space="preserve">  8 hours across Modules 5 and 6</w:t>
            </w:r>
            <w:r w:rsidRPr="009B77DF">
              <w:rPr>
                <w:sz w:val="18"/>
                <w:szCs w:val="18"/>
              </w:rPr>
              <w:t xml:space="preserve"> </w:t>
            </w:r>
          </w:p>
        </w:tc>
      </w:tr>
      <w:tr w:rsidR="0016348D" w:rsidTr="009B77DF">
        <w:tc>
          <w:tcPr>
            <w:tcW w:w="341" w:type="dxa"/>
            <w:vMerge/>
            <w:shd w:val="clear" w:color="auto" w:fill="D9D9D9" w:themeFill="background1" w:themeFillShade="D9"/>
            <w:tcMar>
              <w:top w:w="57" w:type="dxa"/>
              <w:left w:w="57" w:type="dxa"/>
              <w:bottom w:w="57" w:type="dxa"/>
              <w:right w:w="57" w:type="dxa"/>
            </w:tcMar>
            <w:vAlign w:val="center"/>
          </w:tcPr>
          <w:p w:rsidR="0016348D" w:rsidRDefault="0016348D"/>
        </w:tc>
        <w:tc>
          <w:tcPr>
            <w:tcW w:w="15063" w:type="dxa"/>
            <w:gridSpan w:val="10"/>
            <w:shd w:val="clear" w:color="auto" w:fill="auto"/>
            <w:tcMar>
              <w:top w:w="57" w:type="dxa"/>
              <w:left w:w="57" w:type="dxa"/>
              <w:bottom w:w="57" w:type="dxa"/>
              <w:right w:w="57" w:type="dxa"/>
            </w:tcMar>
          </w:tcPr>
          <w:p w:rsidR="0016348D" w:rsidRPr="006E2E49" w:rsidRDefault="002D6920" w:rsidP="002D6920">
            <w:pPr>
              <w:rPr>
                <w:color w:val="auto"/>
                <w:sz w:val="18"/>
                <w:szCs w:val="18"/>
              </w:rPr>
            </w:pPr>
            <w:r>
              <w:rPr>
                <w:color w:val="auto"/>
                <w:sz w:val="18"/>
                <w:szCs w:val="18"/>
              </w:rPr>
              <w:t xml:space="preserve">CH11/12-1 </w:t>
            </w:r>
            <w:r w:rsidR="0016348D" w:rsidRPr="008B1236">
              <w:rPr>
                <w:color w:val="auto"/>
                <w:sz w:val="18"/>
                <w:szCs w:val="18"/>
              </w:rPr>
              <w:t xml:space="preserve">CH11/12-4  CH11/12-5  CH11/12-6 CH11/12-7 CH12-12 </w:t>
            </w:r>
          </w:p>
        </w:tc>
      </w:tr>
    </w:tbl>
    <w:p w:rsidR="009B77DF" w:rsidRDefault="009B77DF"/>
    <w:tbl>
      <w:tblPr>
        <w:tblStyle w:val="a0"/>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
        <w:gridCol w:w="1505"/>
        <w:gridCol w:w="1506"/>
        <w:gridCol w:w="1506"/>
        <w:gridCol w:w="1506"/>
        <w:gridCol w:w="1506"/>
        <w:gridCol w:w="1506"/>
        <w:gridCol w:w="1506"/>
        <w:gridCol w:w="1506"/>
        <w:gridCol w:w="1506"/>
        <w:gridCol w:w="1506"/>
      </w:tblGrid>
      <w:tr w:rsidR="00E408EF" w:rsidTr="009B77DF">
        <w:tc>
          <w:tcPr>
            <w:tcW w:w="341" w:type="dxa"/>
            <w:vMerge w:val="restart"/>
            <w:shd w:val="clear" w:color="auto" w:fill="D9D9D9" w:themeFill="background1" w:themeFillShade="D9"/>
            <w:tcMar>
              <w:top w:w="57" w:type="dxa"/>
              <w:left w:w="57" w:type="dxa"/>
              <w:bottom w:w="57" w:type="dxa"/>
              <w:right w:w="57" w:type="dxa"/>
            </w:tcMar>
            <w:textDirection w:val="btLr"/>
            <w:vAlign w:val="center"/>
          </w:tcPr>
          <w:p w:rsidR="00E408EF" w:rsidRDefault="00167B3D" w:rsidP="009B77DF">
            <w:pPr>
              <w:ind w:left="113" w:right="113"/>
              <w:jc w:val="center"/>
            </w:pPr>
            <w:r>
              <w:rPr>
                <w:b/>
                <w:sz w:val="22"/>
                <w:szCs w:val="22"/>
              </w:rPr>
              <w:t>Term 1</w:t>
            </w:r>
          </w:p>
        </w:tc>
        <w:tc>
          <w:tcPr>
            <w:tcW w:w="1505"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1</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2</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3</w:t>
            </w:r>
          </w:p>
        </w:tc>
        <w:tc>
          <w:tcPr>
            <w:tcW w:w="1506" w:type="dxa"/>
            <w:shd w:val="clear" w:color="auto" w:fill="auto"/>
            <w:tcMar>
              <w:top w:w="57" w:type="dxa"/>
              <w:left w:w="57" w:type="dxa"/>
              <w:bottom w:w="57" w:type="dxa"/>
              <w:right w:w="57" w:type="dxa"/>
            </w:tcMar>
          </w:tcPr>
          <w:p w:rsidR="00E408EF" w:rsidRPr="009F6323" w:rsidRDefault="00167B3D" w:rsidP="006E2E49">
            <w:pPr>
              <w:jc w:val="center"/>
              <w:rPr>
                <w:sz w:val="18"/>
                <w:szCs w:val="18"/>
              </w:rPr>
            </w:pPr>
            <w:r w:rsidRPr="009F6323">
              <w:rPr>
                <w:b/>
                <w:sz w:val="18"/>
                <w:szCs w:val="18"/>
              </w:rPr>
              <w:t>Week 4</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5</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6</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7</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8</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9</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10</w:t>
            </w:r>
          </w:p>
        </w:tc>
      </w:tr>
      <w:tr w:rsidR="008761CE" w:rsidTr="009B77DF">
        <w:tc>
          <w:tcPr>
            <w:tcW w:w="341" w:type="dxa"/>
            <w:vMerge/>
            <w:shd w:val="clear" w:color="auto" w:fill="D9D9D9" w:themeFill="background1" w:themeFillShade="D9"/>
            <w:tcMar>
              <w:top w:w="57" w:type="dxa"/>
              <w:left w:w="57" w:type="dxa"/>
              <w:bottom w:w="57" w:type="dxa"/>
              <w:right w:w="57" w:type="dxa"/>
            </w:tcMar>
            <w:vAlign w:val="center"/>
          </w:tcPr>
          <w:p w:rsidR="008761CE" w:rsidRDefault="008761CE"/>
        </w:tc>
        <w:tc>
          <w:tcPr>
            <w:tcW w:w="15059" w:type="dxa"/>
            <w:gridSpan w:val="10"/>
            <w:shd w:val="clear" w:color="auto" w:fill="auto"/>
            <w:tcMar>
              <w:top w:w="57" w:type="dxa"/>
              <w:left w:w="57" w:type="dxa"/>
              <w:bottom w:w="57" w:type="dxa"/>
              <w:right w:w="57" w:type="dxa"/>
            </w:tcMar>
          </w:tcPr>
          <w:p w:rsidR="006B53AA" w:rsidRPr="009B77DF" w:rsidRDefault="006B53AA" w:rsidP="00DA25C1">
            <w:pPr>
              <w:rPr>
                <w:b/>
                <w:color w:val="auto"/>
                <w:sz w:val="20"/>
                <w:szCs w:val="20"/>
              </w:rPr>
            </w:pPr>
            <w:bookmarkStart w:id="3" w:name="_Toc465864941"/>
            <w:bookmarkStart w:id="4" w:name="_Toc466029515"/>
            <w:r w:rsidRPr="009B77DF">
              <w:rPr>
                <w:b/>
                <w:color w:val="auto"/>
                <w:sz w:val="20"/>
                <w:szCs w:val="20"/>
              </w:rPr>
              <w:t>Module 6: Acid/Base Reactions</w:t>
            </w:r>
            <w:bookmarkEnd w:id="3"/>
            <w:bookmarkEnd w:id="4"/>
          </w:p>
          <w:p w:rsidR="006E2E49" w:rsidRPr="009B77DF" w:rsidRDefault="006B53AA" w:rsidP="00CF0255">
            <w:pPr>
              <w:rPr>
                <w:sz w:val="16"/>
                <w:szCs w:val="16"/>
              </w:rPr>
            </w:pPr>
            <w:r w:rsidRPr="006B53AA">
              <w:rPr>
                <w:sz w:val="16"/>
                <w:szCs w:val="16"/>
              </w:rPr>
              <w:t>Students analyse how and why the definitions of both an acid and a base have changed over time, and how the current definitions characterise the m</w:t>
            </w:r>
            <w:r w:rsidR="00CF0255">
              <w:rPr>
                <w:sz w:val="16"/>
                <w:szCs w:val="16"/>
              </w:rPr>
              <w:t>any chemical reactions of acids</w:t>
            </w:r>
            <w:r w:rsidRPr="006B53AA">
              <w:rPr>
                <w:sz w:val="16"/>
                <w:szCs w:val="16"/>
              </w:rPr>
              <w:t>. The chemistry of acids and bases contributes to industrial contexts and the environment. By investigating the qualitative and quantitative properties of acids and bases, students learn to appreciate the importance of factors such as pH and indicators.</w:t>
            </w:r>
          </w:p>
        </w:tc>
      </w:tr>
      <w:tr w:rsidR="008761CE" w:rsidTr="009B77DF">
        <w:tc>
          <w:tcPr>
            <w:tcW w:w="341" w:type="dxa"/>
            <w:vMerge/>
            <w:shd w:val="clear" w:color="auto" w:fill="D9D9D9" w:themeFill="background1" w:themeFillShade="D9"/>
            <w:tcMar>
              <w:top w:w="57" w:type="dxa"/>
              <w:left w:w="57" w:type="dxa"/>
              <w:bottom w:w="57" w:type="dxa"/>
              <w:right w:w="57" w:type="dxa"/>
            </w:tcMar>
            <w:vAlign w:val="center"/>
          </w:tcPr>
          <w:p w:rsidR="008761CE" w:rsidRDefault="008761CE"/>
        </w:tc>
        <w:tc>
          <w:tcPr>
            <w:tcW w:w="15059" w:type="dxa"/>
            <w:gridSpan w:val="10"/>
            <w:shd w:val="clear" w:color="auto" w:fill="auto"/>
            <w:tcMar>
              <w:top w:w="57" w:type="dxa"/>
              <w:left w:w="57" w:type="dxa"/>
              <w:bottom w:w="57" w:type="dxa"/>
              <w:right w:w="57" w:type="dxa"/>
            </w:tcMar>
          </w:tcPr>
          <w:p w:rsidR="008761CE" w:rsidRPr="008B1236" w:rsidRDefault="006B53AA" w:rsidP="009B77DF">
            <w:pPr>
              <w:rPr>
                <w:sz w:val="18"/>
                <w:szCs w:val="18"/>
              </w:rPr>
            </w:pPr>
            <w:r w:rsidRPr="008B1236">
              <w:rPr>
                <w:color w:val="auto"/>
                <w:sz w:val="18"/>
                <w:szCs w:val="18"/>
              </w:rPr>
              <w:t>CH11/12-1</w:t>
            </w:r>
            <w:r w:rsidR="008B1236" w:rsidRPr="008B1236">
              <w:rPr>
                <w:color w:val="auto"/>
                <w:sz w:val="18"/>
                <w:szCs w:val="18"/>
              </w:rPr>
              <w:t xml:space="preserve"> </w:t>
            </w:r>
            <w:r w:rsidRPr="008B1236">
              <w:rPr>
                <w:color w:val="auto"/>
                <w:sz w:val="18"/>
                <w:szCs w:val="18"/>
              </w:rPr>
              <w:t xml:space="preserve">CH11/12-2 </w:t>
            </w:r>
            <w:r w:rsidR="0059076E" w:rsidRPr="008B1236">
              <w:rPr>
                <w:color w:val="auto"/>
                <w:sz w:val="18"/>
                <w:szCs w:val="18"/>
              </w:rPr>
              <w:t>CH11/12-3</w:t>
            </w:r>
            <w:r w:rsidR="008B1236" w:rsidRPr="008B1236">
              <w:rPr>
                <w:color w:val="auto"/>
                <w:sz w:val="18"/>
                <w:szCs w:val="18"/>
              </w:rPr>
              <w:t xml:space="preserve"> </w:t>
            </w:r>
            <w:r w:rsidR="0059076E" w:rsidRPr="008B1236">
              <w:rPr>
                <w:color w:val="auto"/>
                <w:sz w:val="18"/>
                <w:szCs w:val="18"/>
              </w:rPr>
              <w:t xml:space="preserve">CH11/12-5 CH12-13 </w:t>
            </w:r>
          </w:p>
        </w:tc>
      </w:tr>
    </w:tbl>
    <w:p w:rsidR="009B77DF" w:rsidRDefault="009B77DF"/>
    <w:tbl>
      <w:tblPr>
        <w:tblStyle w:val="a1"/>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
        <w:gridCol w:w="1505"/>
        <w:gridCol w:w="1506"/>
        <w:gridCol w:w="1506"/>
        <w:gridCol w:w="1506"/>
        <w:gridCol w:w="1506"/>
        <w:gridCol w:w="1506"/>
        <w:gridCol w:w="1506"/>
        <w:gridCol w:w="1506"/>
        <w:gridCol w:w="1506"/>
        <w:gridCol w:w="1506"/>
      </w:tblGrid>
      <w:tr w:rsidR="00E408EF" w:rsidTr="009B77DF">
        <w:tc>
          <w:tcPr>
            <w:tcW w:w="341" w:type="dxa"/>
            <w:vMerge w:val="restart"/>
            <w:shd w:val="clear" w:color="auto" w:fill="D9D9D9" w:themeFill="background1" w:themeFillShade="D9"/>
            <w:tcMar>
              <w:top w:w="57" w:type="dxa"/>
              <w:left w:w="57" w:type="dxa"/>
              <w:bottom w:w="57" w:type="dxa"/>
              <w:right w:w="57" w:type="dxa"/>
            </w:tcMar>
            <w:textDirection w:val="btLr"/>
            <w:vAlign w:val="center"/>
          </w:tcPr>
          <w:p w:rsidR="00E408EF" w:rsidRPr="00A00E23" w:rsidRDefault="00167B3D" w:rsidP="009B77DF">
            <w:pPr>
              <w:ind w:left="113" w:right="113"/>
              <w:jc w:val="center"/>
              <w:rPr>
                <w:sz w:val="22"/>
                <w:szCs w:val="22"/>
              </w:rPr>
            </w:pPr>
            <w:r w:rsidRPr="00A00E23">
              <w:rPr>
                <w:b/>
                <w:sz w:val="22"/>
                <w:szCs w:val="22"/>
              </w:rPr>
              <w:t>Term 2</w:t>
            </w:r>
          </w:p>
        </w:tc>
        <w:tc>
          <w:tcPr>
            <w:tcW w:w="1505" w:type="dxa"/>
            <w:tcMar>
              <w:top w:w="57" w:type="dxa"/>
              <w:left w:w="57" w:type="dxa"/>
              <w:bottom w:w="57" w:type="dxa"/>
              <w:right w:w="57" w:type="dxa"/>
            </w:tcMar>
          </w:tcPr>
          <w:p w:rsidR="00E408EF" w:rsidRPr="009578BF" w:rsidRDefault="00167B3D">
            <w:pPr>
              <w:jc w:val="center"/>
              <w:rPr>
                <w:sz w:val="16"/>
                <w:szCs w:val="16"/>
              </w:rPr>
            </w:pPr>
            <w:r w:rsidRPr="009578BF">
              <w:rPr>
                <w:b/>
                <w:sz w:val="16"/>
                <w:szCs w:val="16"/>
              </w:rPr>
              <w:t>Week 1</w:t>
            </w:r>
          </w:p>
        </w:tc>
        <w:tc>
          <w:tcPr>
            <w:tcW w:w="1506" w:type="dxa"/>
            <w:tcMar>
              <w:top w:w="57" w:type="dxa"/>
              <w:left w:w="57" w:type="dxa"/>
              <w:bottom w:w="57" w:type="dxa"/>
              <w:right w:w="57" w:type="dxa"/>
            </w:tcMar>
          </w:tcPr>
          <w:p w:rsidR="00E408EF" w:rsidRPr="009578BF" w:rsidRDefault="00167B3D">
            <w:pPr>
              <w:jc w:val="center"/>
              <w:rPr>
                <w:sz w:val="16"/>
                <w:szCs w:val="16"/>
              </w:rPr>
            </w:pPr>
            <w:r w:rsidRPr="009578BF">
              <w:rPr>
                <w:b/>
                <w:sz w:val="16"/>
                <w:szCs w:val="16"/>
              </w:rPr>
              <w:t>Week 2</w:t>
            </w:r>
          </w:p>
        </w:tc>
        <w:tc>
          <w:tcPr>
            <w:tcW w:w="1506" w:type="dxa"/>
            <w:shd w:val="clear" w:color="auto" w:fill="auto"/>
            <w:tcMar>
              <w:top w:w="57" w:type="dxa"/>
              <w:left w:w="57" w:type="dxa"/>
              <w:bottom w:w="57" w:type="dxa"/>
              <w:right w:w="57" w:type="dxa"/>
            </w:tcMar>
          </w:tcPr>
          <w:p w:rsidR="00E408EF" w:rsidRPr="009578BF" w:rsidRDefault="00167B3D" w:rsidP="006E2E49">
            <w:pPr>
              <w:jc w:val="center"/>
              <w:rPr>
                <w:sz w:val="16"/>
                <w:szCs w:val="16"/>
              </w:rPr>
            </w:pPr>
            <w:r w:rsidRPr="009578BF">
              <w:rPr>
                <w:b/>
                <w:sz w:val="16"/>
                <w:szCs w:val="16"/>
              </w:rPr>
              <w:t>Week 3</w:t>
            </w:r>
          </w:p>
        </w:tc>
        <w:tc>
          <w:tcPr>
            <w:tcW w:w="1506" w:type="dxa"/>
            <w:tcMar>
              <w:top w:w="57" w:type="dxa"/>
              <w:left w:w="57" w:type="dxa"/>
              <w:bottom w:w="57" w:type="dxa"/>
              <w:right w:w="57" w:type="dxa"/>
            </w:tcMar>
          </w:tcPr>
          <w:p w:rsidR="00E408EF" w:rsidRPr="009578BF" w:rsidRDefault="00167B3D">
            <w:pPr>
              <w:jc w:val="center"/>
              <w:rPr>
                <w:sz w:val="16"/>
                <w:szCs w:val="16"/>
              </w:rPr>
            </w:pPr>
            <w:r w:rsidRPr="009578BF">
              <w:rPr>
                <w:b/>
                <w:sz w:val="16"/>
                <w:szCs w:val="16"/>
              </w:rPr>
              <w:t>Week 4</w:t>
            </w:r>
          </w:p>
        </w:tc>
        <w:tc>
          <w:tcPr>
            <w:tcW w:w="1506" w:type="dxa"/>
            <w:tcMar>
              <w:top w:w="57" w:type="dxa"/>
              <w:left w:w="57" w:type="dxa"/>
              <w:bottom w:w="57" w:type="dxa"/>
              <w:right w:w="57" w:type="dxa"/>
            </w:tcMar>
          </w:tcPr>
          <w:p w:rsidR="00E408EF" w:rsidRPr="009578BF" w:rsidRDefault="00167B3D">
            <w:pPr>
              <w:jc w:val="center"/>
              <w:rPr>
                <w:sz w:val="16"/>
                <w:szCs w:val="16"/>
              </w:rPr>
            </w:pPr>
            <w:r w:rsidRPr="009578BF">
              <w:rPr>
                <w:b/>
                <w:sz w:val="16"/>
                <w:szCs w:val="16"/>
              </w:rPr>
              <w:t>Week 5</w:t>
            </w:r>
          </w:p>
        </w:tc>
        <w:tc>
          <w:tcPr>
            <w:tcW w:w="1506" w:type="dxa"/>
            <w:tcMar>
              <w:top w:w="57" w:type="dxa"/>
              <w:left w:w="57" w:type="dxa"/>
              <w:bottom w:w="57" w:type="dxa"/>
              <w:right w:w="57" w:type="dxa"/>
            </w:tcMar>
          </w:tcPr>
          <w:p w:rsidR="00E408EF" w:rsidRPr="009578BF" w:rsidRDefault="00167B3D">
            <w:pPr>
              <w:jc w:val="center"/>
              <w:rPr>
                <w:sz w:val="16"/>
                <w:szCs w:val="16"/>
              </w:rPr>
            </w:pPr>
            <w:r w:rsidRPr="009578BF">
              <w:rPr>
                <w:b/>
                <w:sz w:val="16"/>
                <w:szCs w:val="16"/>
              </w:rPr>
              <w:t>Week 6</w:t>
            </w:r>
          </w:p>
        </w:tc>
        <w:tc>
          <w:tcPr>
            <w:tcW w:w="1506" w:type="dxa"/>
            <w:tcMar>
              <w:top w:w="57" w:type="dxa"/>
              <w:left w:w="57" w:type="dxa"/>
              <w:bottom w:w="57" w:type="dxa"/>
              <w:right w:w="57" w:type="dxa"/>
            </w:tcMar>
          </w:tcPr>
          <w:p w:rsidR="00E408EF" w:rsidRPr="009578BF" w:rsidRDefault="00167B3D">
            <w:pPr>
              <w:jc w:val="center"/>
              <w:rPr>
                <w:sz w:val="16"/>
                <w:szCs w:val="16"/>
              </w:rPr>
            </w:pPr>
            <w:r w:rsidRPr="009578BF">
              <w:rPr>
                <w:b/>
                <w:sz w:val="16"/>
                <w:szCs w:val="16"/>
              </w:rPr>
              <w:t>Week 7</w:t>
            </w:r>
          </w:p>
        </w:tc>
        <w:tc>
          <w:tcPr>
            <w:tcW w:w="1506" w:type="dxa"/>
            <w:tcMar>
              <w:top w:w="57" w:type="dxa"/>
              <w:left w:w="57" w:type="dxa"/>
              <w:bottom w:w="57" w:type="dxa"/>
              <w:right w:w="57" w:type="dxa"/>
            </w:tcMar>
          </w:tcPr>
          <w:p w:rsidR="00E408EF" w:rsidRPr="009578BF" w:rsidRDefault="00167B3D">
            <w:pPr>
              <w:jc w:val="center"/>
              <w:rPr>
                <w:sz w:val="16"/>
                <w:szCs w:val="16"/>
              </w:rPr>
            </w:pPr>
            <w:r w:rsidRPr="009578BF">
              <w:rPr>
                <w:b/>
                <w:sz w:val="16"/>
                <w:szCs w:val="16"/>
              </w:rPr>
              <w:t>Week 8</w:t>
            </w:r>
          </w:p>
        </w:tc>
        <w:tc>
          <w:tcPr>
            <w:tcW w:w="1506" w:type="dxa"/>
            <w:shd w:val="clear" w:color="auto" w:fill="auto"/>
            <w:tcMar>
              <w:top w:w="57" w:type="dxa"/>
              <w:left w:w="57" w:type="dxa"/>
              <w:bottom w:w="57" w:type="dxa"/>
              <w:right w:w="57" w:type="dxa"/>
            </w:tcMar>
          </w:tcPr>
          <w:p w:rsidR="00E408EF" w:rsidRPr="009578BF" w:rsidRDefault="00167B3D" w:rsidP="006E2E49">
            <w:pPr>
              <w:jc w:val="center"/>
              <w:rPr>
                <w:sz w:val="16"/>
                <w:szCs w:val="16"/>
              </w:rPr>
            </w:pPr>
            <w:r w:rsidRPr="009578BF">
              <w:rPr>
                <w:b/>
                <w:sz w:val="16"/>
                <w:szCs w:val="16"/>
              </w:rPr>
              <w:t>Week 9</w:t>
            </w:r>
          </w:p>
        </w:tc>
        <w:tc>
          <w:tcPr>
            <w:tcW w:w="1506" w:type="dxa"/>
            <w:tcMar>
              <w:top w:w="57" w:type="dxa"/>
              <w:left w:w="57" w:type="dxa"/>
              <w:bottom w:w="57" w:type="dxa"/>
              <w:right w:w="57" w:type="dxa"/>
            </w:tcMar>
          </w:tcPr>
          <w:p w:rsidR="00E408EF" w:rsidRPr="009578BF" w:rsidRDefault="00167B3D">
            <w:pPr>
              <w:jc w:val="center"/>
              <w:rPr>
                <w:sz w:val="16"/>
                <w:szCs w:val="16"/>
              </w:rPr>
            </w:pPr>
            <w:r w:rsidRPr="009578BF">
              <w:rPr>
                <w:b/>
                <w:sz w:val="16"/>
                <w:szCs w:val="16"/>
              </w:rPr>
              <w:t>Week 10</w:t>
            </w:r>
          </w:p>
        </w:tc>
      </w:tr>
      <w:tr w:rsidR="008761CE" w:rsidTr="009B77DF">
        <w:tc>
          <w:tcPr>
            <w:tcW w:w="341" w:type="dxa"/>
            <w:vMerge/>
            <w:shd w:val="clear" w:color="auto" w:fill="D9D9D9" w:themeFill="background1" w:themeFillShade="D9"/>
            <w:tcMar>
              <w:top w:w="57" w:type="dxa"/>
              <w:left w:w="57" w:type="dxa"/>
              <w:bottom w:w="57" w:type="dxa"/>
              <w:right w:w="57" w:type="dxa"/>
            </w:tcMar>
            <w:vAlign w:val="center"/>
          </w:tcPr>
          <w:p w:rsidR="008761CE" w:rsidRPr="009578BF" w:rsidRDefault="008761CE">
            <w:pPr>
              <w:rPr>
                <w:sz w:val="16"/>
                <w:szCs w:val="16"/>
              </w:rPr>
            </w:pPr>
          </w:p>
        </w:tc>
        <w:tc>
          <w:tcPr>
            <w:tcW w:w="15059" w:type="dxa"/>
            <w:gridSpan w:val="10"/>
            <w:shd w:val="clear" w:color="auto" w:fill="auto"/>
            <w:tcMar>
              <w:top w:w="57" w:type="dxa"/>
              <w:left w:w="57" w:type="dxa"/>
              <w:bottom w:w="57" w:type="dxa"/>
              <w:right w:w="57" w:type="dxa"/>
            </w:tcMar>
          </w:tcPr>
          <w:p w:rsidR="008761CE" w:rsidRPr="009B77DF" w:rsidRDefault="008761CE" w:rsidP="00A71A12">
            <w:pPr>
              <w:rPr>
                <w:sz w:val="20"/>
                <w:szCs w:val="20"/>
              </w:rPr>
            </w:pPr>
            <w:r w:rsidRPr="009B77DF">
              <w:rPr>
                <w:b/>
                <w:color w:val="auto"/>
                <w:sz w:val="20"/>
                <w:szCs w:val="20"/>
              </w:rPr>
              <w:t>Module 7: Organic Chemistry</w:t>
            </w:r>
          </w:p>
          <w:p w:rsidR="008761CE" w:rsidRPr="009B77DF" w:rsidRDefault="00096ABF" w:rsidP="009B77DF">
            <w:pPr>
              <w:rPr>
                <w:sz w:val="18"/>
                <w:szCs w:val="18"/>
              </w:rPr>
            </w:pPr>
            <w:r w:rsidRPr="00072BAC">
              <w:rPr>
                <w:sz w:val="16"/>
                <w:szCs w:val="16"/>
              </w:rPr>
              <w:t xml:space="preserve">Students </w:t>
            </w:r>
            <w:r w:rsidR="009B77DF" w:rsidRPr="00072BAC">
              <w:rPr>
                <w:sz w:val="16"/>
                <w:szCs w:val="16"/>
              </w:rPr>
              <w:t>examine</w:t>
            </w:r>
            <w:r w:rsidRPr="00072BAC">
              <w:rPr>
                <w:sz w:val="16"/>
                <w:szCs w:val="16"/>
              </w:rPr>
              <w:t xml:space="preserve"> the principles and applications of chemical synthesis in the field of organic chemistry. Current and future applications of chemistry include techniques to synthesise new substances – including pharmaceuticals, fuels and polymers. </w:t>
            </w:r>
            <w:r w:rsidR="009B77DF" w:rsidRPr="00072BAC">
              <w:rPr>
                <w:sz w:val="16"/>
                <w:szCs w:val="16"/>
              </w:rPr>
              <w:t>S</w:t>
            </w:r>
            <w:r w:rsidRPr="00072BAC">
              <w:rPr>
                <w:sz w:val="16"/>
                <w:szCs w:val="16"/>
              </w:rPr>
              <w:t>tudents investigate the many classes of organic compounds and their characteristic chemical reactions.</w:t>
            </w:r>
            <w:r w:rsidR="00CF0255" w:rsidRPr="009B77DF">
              <w:rPr>
                <w:sz w:val="18"/>
                <w:szCs w:val="18"/>
              </w:rPr>
              <w:t xml:space="preserve"> </w:t>
            </w:r>
          </w:p>
        </w:tc>
      </w:tr>
      <w:tr w:rsidR="008761CE" w:rsidTr="009B77DF">
        <w:tc>
          <w:tcPr>
            <w:tcW w:w="341" w:type="dxa"/>
            <w:vMerge/>
            <w:shd w:val="clear" w:color="auto" w:fill="D9D9D9" w:themeFill="background1" w:themeFillShade="D9"/>
            <w:tcMar>
              <w:top w:w="57" w:type="dxa"/>
              <w:left w:w="57" w:type="dxa"/>
              <w:bottom w:w="57" w:type="dxa"/>
              <w:right w:w="57" w:type="dxa"/>
            </w:tcMar>
            <w:vAlign w:val="center"/>
          </w:tcPr>
          <w:p w:rsidR="008761CE" w:rsidRPr="009578BF" w:rsidRDefault="008761CE">
            <w:pPr>
              <w:rPr>
                <w:sz w:val="16"/>
                <w:szCs w:val="16"/>
              </w:rPr>
            </w:pPr>
          </w:p>
        </w:tc>
        <w:tc>
          <w:tcPr>
            <w:tcW w:w="15059" w:type="dxa"/>
            <w:gridSpan w:val="10"/>
            <w:shd w:val="clear" w:color="auto" w:fill="auto"/>
            <w:tcMar>
              <w:top w:w="57" w:type="dxa"/>
              <w:left w:w="57" w:type="dxa"/>
              <w:bottom w:w="57" w:type="dxa"/>
              <w:right w:w="57" w:type="dxa"/>
            </w:tcMar>
          </w:tcPr>
          <w:p w:rsidR="008761CE" w:rsidRPr="008B1236" w:rsidRDefault="008761CE" w:rsidP="009B77DF">
            <w:pPr>
              <w:rPr>
                <w:sz w:val="18"/>
                <w:szCs w:val="18"/>
              </w:rPr>
            </w:pPr>
            <w:r w:rsidRPr="008B1236">
              <w:rPr>
                <w:color w:val="auto"/>
                <w:sz w:val="18"/>
                <w:szCs w:val="18"/>
              </w:rPr>
              <w:t>CH11/12-5</w:t>
            </w:r>
            <w:r w:rsidR="008B1236" w:rsidRPr="008B1236">
              <w:rPr>
                <w:color w:val="auto"/>
                <w:sz w:val="18"/>
                <w:szCs w:val="18"/>
              </w:rPr>
              <w:t xml:space="preserve"> </w:t>
            </w:r>
            <w:r w:rsidRPr="008B1236">
              <w:rPr>
                <w:color w:val="auto"/>
                <w:sz w:val="18"/>
                <w:szCs w:val="18"/>
              </w:rPr>
              <w:t>CH11/12-6</w:t>
            </w:r>
            <w:r w:rsidR="009578BF" w:rsidRPr="008B1236">
              <w:rPr>
                <w:color w:val="auto"/>
                <w:sz w:val="18"/>
                <w:szCs w:val="18"/>
              </w:rPr>
              <w:t xml:space="preserve"> </w:t>
            </w:r>
            <w:r w:rsidRPr="008B1236">
              <w:rPr>
                <w:color w:val="auto"/>
                <w:sz w:val="18"/>
                <w:szCs w:val="18"/>
              </w:rPr>
              <w:t>CH11/12-7</w:t>
            </w:r>
            <w:r w:rsidR="008B1236" w:rsidRPr="008B1236">
              <w:rPr>
                <w:color w:val="auto"/>
                <w:sz w:val="18"/>
                <w:szCs w:val="18"/>
              </w:rPr>
              <w:t xml:space="preserve"> </w:t>
            </w:r>
            <w:r w:rsidRPr="008B1236">
              <w:rPr>
                <w:color w:val="auto"/>
                <w:sz w:val="18"/>
                <w:szCs w:val="18"/>
              </w:rPr>
              <w:t>CH12-14</w:t>
            </w:r>
            <w:r w:rsidR="009578BF" w:rsidRPr="008B1236">
              <w:rPr>
                <w:color w:val="auto"/>
                <w:sz w:val="18"/>
                <w:szCs w:val="18"/>
              </w:rPr>
              <w:t xml:space="preserve"> </w:t>
            </w:r>
          </w:p>
        </w:tc>
      </w:tr>
    </w:tbl>
    <w:p w:rsidR="009B77DF" w:rsidRDefault="009B77DF"/>
    <w:tbl>
      <w:tblPr>
        <w:tblStyle w:val="a2"/>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
        <w:gridCol w:w="1505"/>
        <w:gridCol w:w="1506"/>
        <w:gridCol w:w="1506"/>
        <w:gridCol w:w="1506"/>
        <w:gridCol w:w="1506"/>
        <w:gridCol w:w="1506"/>
        <w:gridCol w:w="1506"/>
        <w:gridCol w:w="1506"/>
        <w:gridCol w:w="1506"/>
        <w:gridCol w:w="1506"/>
      </w:tblGrid>
      <w:tr w:rsidR="00E408EF" w:rsidTr="009B77DF">
        <w:tc>
          <w:tcPr>
            <w:tcW w:w="341" w:type="dxa"/>
            <w:vMerge w:val="restart"/>
            <w:shd w:val="clear" w:color="auto" w:fill="D9D9D9" w:themeFill="background1" w:themeFillShade="D9"/>
            <w:tcMar>
              <w:top w:w="57" w:type="dxa"/>
              <w:left w:w="57" w:type="dxa"/>
              <w:bottom w:w="57" w:type="dxa"/>
              <w:right w:w="57" w:type="dxa"/>
            </w:tcMar>
            <w:textDirection w:val="btLr"/>
            <w:vAlign w:val="center"/>
          </w:tcPr>
          <w:p w:rsidR="00E408EF" w:rsidRDefault="00167B3D" w:rsidP="009B77DF">
            <w:pPr>
              <w:ind w:left="113" w:right="113"/>
              <w:jc w:val="center"/>
            </w:pPr>
            <w:r>
              <w:rPr>
                <w:b/>
                <w:sz w:val="22"/>
                <w:szCs w:val="22"/>
              </w:rPr>
              <w:t>Term 3</w:t>
            </w:r>
          </w:p>
        </w:tc>
        <w:tc>
          <w:tcPr>
            <w:tcW w:w="1505"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1</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2</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3</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4</w:t>
            </w:r>
          </w:p>
        </w:tc>
        <w:tc>
          <w:tcPr>
            <w:tcW w:w="1506" w:type="dxa"/>
            <w:shd w:val="clear" w:color="auto" w:fill="auto"/>
            <w:tcMar>
              <w:top w:w="57" w:type="dxa"/>
              <w:left w:w="57" w:type="dxa"/>
              <w:bottom w:w="57" w:type="dxa"/>
              <w:right w:w="57" w:type="dxa"/>
            </w:tcMar>
          </w:tcPr>
          <w:p w:rsidR="00E408EF" w:rsidRPr="009F6323" w:rsidRDefault="00167B3D" w:rsidP="00C43950">
            <w:pPr>
              <w:jc w:val="center"/>
              <w:rPr>
                <w:sz w:val="18"/>
                <w:szCs w:val="18"/>
              </w:rPr>
            </w:pPr>
            <w:r w:rsidRPr="009F6323">
              <w:rPr>
                <w:b/>
                <w:sz w:val="18"/>
                <w:szCs w:val="18"/>
              </w:rPr>
              <w:t>Week 5</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6</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7</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8</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9</w:t>
            </w:r>
          </w:p>
        </w:tc>
        <w:tc>
          <w:tcPr>
            <w:tcW w:w="1506" w:type="dxa"/>
            <w:tcMar>
              <w:top w:w="57" w:type="dxa"/>
              <w:left w:w="57" w:type="dxa"/>
              <w:bottom w:w="57" w:type="dxa"/>
              <w:right w:w="57" w:type="dxa"/>
            </w:tcMar>
          </w:tcPr>
          <w:p w:rsidR="00E408EF" w:rsidRPr="009F6323" w:rsidRDefault="00167B3D">
            <w:pPr>
              <w:jc w:val="center"/>
              <w:rPr>
                <w:sz w:val="18"/>
                <w:szCs w:val="18"/>
              </w:rPr>
            </w:pPr>
            <w:r w:rsidRPr="009F6323">
              <w:rPr>
                <w:b/>
                <w:sz w:val="18"/>
                <w:szCs w:val="18"/>
              </w:rPr>
              <w:t>Week 10</w:t>
            </w:r>
          </w:p>
        </w:tc>
      </w:tr>
      <w:tr w:rsidR="00E01511" w:rsidTr="009B77DF">
        <w:tc>
          <w:tcPr>
            <w:tcW w:w="341" w:type="dxa"/>
            <w:vMerge/>
            <w:shd w:val="clear" w:color="auto" w:fill="D9D9D9" w:themeFill="background1" w:themeFillShade="D9"/>
            <w:tcMar>
              <w:top w:w="57" w:type="dxa"/>
              <w:left w:w="57" w:type="dxa"/>
              <w:bottom w:w="57" w:type="dxa"/>
              <w:right w:w="57" w:type="dxa"/>
            </w:tcMar>
            <w:vAlign w:val="center"/>
          </w:tcPr>
          <w:p w:rsidR="00E01511" w:rsidRDefault="00E01511"/>
        </w:tc>
        <w:tc>
          <w:tcPr>
            <w:tcW w:w="15059" w:type="dxa"/>
            <w:gridSpan w:val="10"/>
            <w:shd w:val="clear" w:color="auto" w:fill="auto"/>
            <w:tcMar>
              <w:top w:w="57" w:type="dxa"/>
              <w:left w:w="57" w:type="dxa"/>
              <w:bottom w:w="57" w:type="dxa"/>
              <w:right w:w="57" w:type="dxa"/>
            </w:tcMar>
          </w:tcPr>
          <w:p w:rsidR="00DA25C1" w:rsidRPr="009B77DF" w:rsidRDefault="00DA25C1" w:rsidP="00DA25C1">
            <w:pPr>
              <w:rPr>
                <w:b/>
                <w:color w:val="auto"/>
                <w:sz w:val="20"/>
                <w:szCs w:val="20"/>
              </w:rPr>
            </w:pPr>
            <w:bookmarkStart w:id="5" w:name="_Toc465864943"/>
            <w:bookmarkStart w:id="6" w:name="_Toc466029517"/>
            <w:r w:rsidRPr="009B77DF">
              <w:rPr>
                <w:b/>
                <w:color w:val="auto"/>
                <w:sz w:val="20"/>
                <w:szCs w:val="20"/>
              </w:rPr>
              <w:t>Module 8: Applying Chemical Ideas</w:t>
            </w:r>
            <w:bookmarkEnd w:id="5"/>
            <w:bookmarkEnd w:id="6"/>
          </w:p>
          <w:p w:rsidR="00E01511" w:rsidRPr="00DA25C1" w:rsidRDefault="00DA25C1" w:rsidP="00CF0255">
            <w:pPr>
              <w:rPr>
                <w:sz w:val="16"/>
                <w:szCs w:val="16"/>
              </w:rPr>
            </w:pPr>
            <w:r w:rsidRPr="00DA25C1">
              <w:rPr>
                <w:sz w:val="16"/>
                <w:szCs w:val="16"/>
              </w:rPr>
              <w:t xml:space="preserve">Students investigate a range of methods used to identify and measure quantities of chemicals. They process </w:t>
            </w:r>
            <w:r w:rsidR="009B77DF">
              <w:rPr>
                <w:sz w:val="16"/>
                <w:szCs w:val="16"/>
              </w:rPr>
              <w:t xml:space="preserve">and analyse </w:t>
            </w:r>
            <w:r w:rsidRPr="00DA25C1">
              <w:rPr>
                <w:sz w:val="16"/>
                <w:szCs w:val="16"/>
              </w:rPr>
              <w:t>data involving the identification and quantification of ion</w:t>
            </w:r>
            <w:r w:rsidR="00C43950">
              <w:rPr>
                <w:sz w:val="16"/>
                <w:szCs w:val="16"/>
              </w:rPr>
              <w:t>s present in aqueous solutions.</w:t>
            </w:r>
            <w:r w:rsidRPr="00DA25C1">
              <w:rPr>
                <w:sz w:val="16"/>
                <w:szCs w:val="16"/>
              </w:rPr>
              <w:t xml:space="preserve"> Students deduce or confirm the structure and identity of organic compounds by interpreting data from qualitative tests of chemical reactivity and determining structural information using proton and carbon</w:t>
            </w:r>
            <w:r w:rsidRPr="00DA25C1">
              <w:rPr>
                <w:sz w:val="16"/>
                <w:szCs w:val="16"/>
              </w:rPr>
              <w:noBreakHyphen/>
              <w:t>13 nuclear magnetic resonance (NMR) spectroscopy.</w:t>
            </w:r>
            <w:r w:rsidR="00C96DDF">
              <w:rPr>
                <w:sz w:val="16"/>
                <w:szCs w:val="16"/>
              </w:rPr>
              <w:t xml:space="preserve"> </w:t>
            </w:r>
          </w:p>
        </w:tc>
      </w:tr>
      <w:tr w:rsidR="00E01511" w:rsidTr="009B77DF">
        <w:tc>
          <w:tcPr>
            <w:tcW w:w="341" w:type="dxa"/>
            <w:vMerge/>
            <w:shd w:val="clear" w:color="auto" w:fill="D9D9D9" w:themeFill="background1" w:themeFillShade="D9"/>
            <w:tcMar>
              <w:top w:w="57" w:type="dxa"/>
              <w:left w:w="57" w:type="dxa"/>
              <w:bottom w:w="57" w:type="dxa"/>
              <w:right w:w="57" w:type="dxa"/>
            </w:tcMar>
            <w:vAlign w:val="center"/>
          </w:tcPr>
          <w:p w:rsidR="00E01511" w:rsidRDefault="00E01511"/>
        </w:tc>
        <w:tc>
          <w:tcPr>
            <w:tcW w:w="15059" w:type="dxa"/>
            <w:gridSpan w:val="10"/>
            <w:shd w:val="clear" w:color="auto" w:fill="auto"/>
            <w:tcMar>
              <w:top w:w="57" w:type="dxa"/>
              <w:left w:w="57" w:type="dxa"/>
              <w:bottom w:w="57" w:type="dxa"/>
              <w:right w:w="57" w:type="dxa"/>
            </w:tcMar>
          </w:tcPr>
          <w:p w:rsidR="00E01511" w:rsidRPr="00C96DDF" w:rsidRDefault="000E7414" w:rsidP="000E7414">
            <w:pPr>
              <w:rPr>
                <w:sz w:val="18"/>
                <w:szCs w:val="18"/>
              </w:rPr>
            </w:pPr>
            <w:r w:rsidRPr="002D6920">
              <w:rPr>
                <w:b/>
                <w:sz w:val="18"/>
                <w:szCs w:val="18"/>
              </w:rPr>
              <w:t xml:space="preserve">Depth Study 2:  </w:t>
            </w:r>
            <w:r w:rsidRPr="002D6920">
              <w:rPr>
                <w:sz w:val="18"/>
                <w:szCs w:val="18"/>
              </w:rPr>
              <w:t>7 hours</w:t>
            </w:r>
          </w:p>
        </w:tc>
      </w:tr>
      <w:tr w:rsidR="00E01511" w:rsidTr="009B77DF">
        <w:tc>
          <w:tcPr>
            <w:tcW w:w="341" w:type="dxa"/>
            <w:vMerge/>
            <w:shd w:val="clear" w:color="auto" w:fill="D9D9D9" w:themeFill="background1" w:themeFillShade="D9"/>
            <w:tcMar>
              <w:top w:w="57" w:type="dxa"/>
              <w:left w:w="57" w:type="dxa"/>
              <w:bottom w:w="57" w:type="dxa"/>
              <w:right w:w="57" w:type="dxa"/>
            </w:tcMar>
            <w:vAlign w:val="center"/>
          </w:tcPr>
          <w:p w:rsidR="00E01511" w:rsidRDefault="00E01511"/>
        </w:tc>
        <w:tc>
          <w:tcPr>
            <w:tcW w:w="15059" w:type="dxa"/>
            <w:gridSpan w:val="10"/>
            <w:shd w:val="clear" w:color="auto" w:fill="auto"/>
            <w:tcMar>
              <w:top w:w="57" w:type="dxa"/>
              <w:left w:w="57" w:type="dxa"/>
              <w:bottom w:w="57" w:type="dxa"/>
              <w:right w:w="57" w:type="dxa"/>
            </w:tcMar>
          </w:tcPr>
          <w:p w:rsidR="00E01511" w:rsidRPr="00C96DDF" w:rsidRDefault="00DA25C1" w:rsidP="00585BA5">
            <w:pPr>
              <w:rPr>
                <w:sz w:val="18"/>
                <w:szCs w:val="18"/>
              </w:rPr>
            </w:pPr>
            <w:r w:rsidRPr="00C96DDF">
              <w:rPr>
                <w:color w:val="auto"/>
                <w:sz w:val="18"/>
                <w:szCs w:val="18"/>
              </w:rPr>
              <w:t xml:space="preserve">CH11/12-1 CH11/12-2 CH11/12-3 CH11/12-4 CH11/12-7 CH12-15 </w:t>
            </w:r>
          </w:p>
        </w:tc>
      </w:tr>
    </w:tbl>
    <w:p w:rsidR="00E408EF" w:rsidRDefault="00E408EF" w:rsidP="008D0297">
      <w:bookmarkStart w:id="7" w:name="_gjdgxs" w:colFirst="0" w:colLast="0"/>
      <w:bookmarkEnd w:id="7"/>
    </w:p>
    <w:sectPr w:rsidR="00E408EF" w:rsidSect="00C57FEB">
      <w:pgSz w:w="16839" w:h="11907" w:orient="landscape" w:code="9"/>
      <w:pgMar w:top="426" w:right="720" w:bottom="284" w:left="720" w:header="436"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8A" w:rsidRDefault="00C82A8A" w:rsidP="00D6403B">
      <w:pPr>
        <w:spacing w:after="0" w:line="240" w:lineRule="auto"/>
      </w:pPr>
      <w:r>
        <w:separator/>
      </w:r>
    </w:p>
  </w:endnote>
  <w:endnote w:type="continuationSeparator" w:id="0">
    <w:p w:rsidR="00C82A8A" w:rsidRDefault="00C82A8A" w:rsidP="00D6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8A" w:rsidRDefault="00C82A8A" w:rsidP="00D6403B">
      <w:pPr>
        <w:spacing w:after="0" w:line="240" w:lineRule="auto"/>
      </w:pPr>
      <w:r>
        <w:separator/>
      </w:r>
    </w:p>
  </w:footnote>
  <w:footnote w:type="continuationSeparator" w:id="0">
    <w:p w:rsidR="00C82A8A" w:rsidRDefault="00C82A8A" w:rsidP="00D64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0404"/>
    <w:multiLevelType w:val="multilevel"/>
    <w:tmpl w:val="8AB84930"/>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74637C3"/>
    <w:multiLevelType w:val="multilevel"/>
    <w:tmpl w:val="C5667DA2"/>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E9B7F89"/>
    <w:multiLevelType w:val="multilevel"/>
    <w:tmpl w:val="0DB41802"/>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EF"/>
    <w:rsid w:val="00004DB2"/>
    <w:rsid w:val="00072BAC"/>
    <w:rsid w:val="00096ABF"/>
    <w:rsid w:val="000D5C02"/>
    <w:rsid w:val="000E7414"/>
    <w:rsid w:val="00125302"/>
    <w:rsid w:val="0016348D"/>
    <w:rsid w:val="0016360D"/>
    <w:rsid w:val="00167B3D"/>
    <w:rsid w:val="002276B2"/>
    <w:rsid w:val="00293A5D"/>
    <w:rsid w:val="002A0441"/>
    <w:rsid w:val="002D6920"/>
    <w:rsid w:val="002E01BE"/>
    <w:rsid w:val="002E312D"/>
    <w:rsid w:val="00357B7D"/>
    <w:rsid w:val="003648E8"/>
    <w:rsid w:val="003C0727"/>
    <w:rsid w:val="00525C50"/>
    <w:rsid w:val="00526810"/>
    <w:rsid w:val="00585BA5"/>
    <w:rsid w:val="0059076E"/>
    <w:rsid w:val="00657A26"/>
    <w:rsid w:val="00671214"/>
    <w:rsid w:val="006B53AA"/>
    <w:rsid w:val="006E2E49"/>
    <w:rsid w:val="007244F9"/>
    <w:rsid w:val="0078284B"/>
    <w:rsid w:val="007977FA"/>
    <w:rsid w:val="00840AB6"/>
    <w:rsid w:val="008761CE"/>
    <w:rsid w:val="00896FB2"/>
    <w:rsid w:val="008B1236"/>
    <w:rsid w:val="008B78AE"/>
    <w:rsid w:val="008C4FA4"/>
    <w:rsid w:val="008D0297"/>
    <w:rsid w:val="00901F52"/>
    <w:rsid w:val="009578BF"/>
    <w:rsid w:val="009A6300"/>
    <w:rsid w:val="009B77DF"/>
    <w:rsid w:val="009F6323"/>
    <w:rsid w:val="00A00E23"/>
    <w:rsid w:val="00A42ED8"/>
    <w:rsid w:val="00A71A12"/>
    <w:rsid w:val="00A86484"/>
    <w:rsid w:val="00B1547C"/>
    <w:rsid w:val="00B542C5"/>
    <w:rsid w:val="00BE419A"/>
    <w:rsid w:val="00C43950"/>
    <w:rsid w:val="00C57FEB"/>
    <w:rsid w:val="00C61173"/>
    <w:rsid w:val="00C82A8A"/>
    <w:rsid w:val="00C96DDF"/>
    <w:rsid w:val="00CD3EC6"/>
    <w:rsid w:val="00CF0255"/>
    <w:rsid w:val="00D00DEF"/>
    <w:rsid w:val="00D6403B"/>
    <w:rsid w:val="00DA25C1"/>
    <w:rsid w:val="00DE4E47"/>
    <w:rsid w:val="00E01511"/>
    <w:rsid w:val="00E408EF"/>
    <w:rsid w:val="00E67CE1"/>
    <w:rsid w:val="00EB6457"/>
    <w:rsid w:val="00EC1B8C"/>
    <w:rsid w:val="00F4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5C1"/>
  </w:style>
  <w:style w:type="paragraph" w:styleId="Heading1">
    <w:name w:val="heading 1"/>
    <w:basedOn w:val="Normal"/>
    <w:next w:val="Normal"/>
    <w:rsid w:val="008C4FA4"/>
    <w:pPr>
      <w:keepNext/>
      <w:keepLines/>
      <w:jc w:val="center"/>
      <w:outlineLvl w:val="0"/>
    </w:pPr>
    <w:rPr>
      <w:b/>
      <w:sz w:val="28"/>
      <w:szCs w:val="28"/>
    </w:rPr>
  </w:style>
  <w:style w:type="paragraph" w:styleId="Heading2">
    <w:name w:val="heading 2"/>
    <w:basedOn w:val="Normal"/>
    <w:next w:val="Normal"/>
    <w:rsid w:val="008C4FA4"/>
    <w:pPr>
      <w:keepNext/>
      <w:keepLines/>
      <w:spacing w:before="200" w:after="0"/>
      <w:jc w:val="center"/>
      <w:outlineLvl w:val="1"/>
    </w:pPr>
    <w:rPr>
      <w:b/>
    </w:rPr>
  </w:style>
  <w:style w:type="paragraph" w:styleId="Heading3">
    <w:name w:val="heading 3"/>
    <w:basedOn w:val="Normal"/>
    <w:next w:val="Normal"/>
    <w:rsid w:val="008C4FA4"/>
    <w:pPr>
      <w:keepNext/>
      <w:keepLines/>
      <w:spacing w:before="280" w:after="80"/>
      <w:contextualSpacing/>
      <w:outlineLvl w:val="2"/>
    </w:pPr>
    <w:rPr>
      <w:b/>
      <w:sz w:val="28"/>
      <w:szCs w:val="28"/>
    </w:rPr>
  </w:style>
  <w:style w:type="paragraph" w:styleId="Heading4">
    <w:name w:val="heading 4"/>
    <w:basedOn w:val="Normal"/>
    <w:next w:val="Normal"/>
    <w:rsid w:val="008C4FA4"/>
    <w:pPr>
      <w:keepNext/>
      <w:keepLines/>
      <w:spacing w:before="240" w:after="40"/>
      <w:contextualSpacing/>
      <w:outlineLvl w:val="3"/>
    </w:pPr>
    <w:rPr>
      <w:b/>
    </w:rPr>
  </w:style>
  <w:style w:type="paragraph" w:styleId="Heading5">
    <w:name w:val="heading 5"/>
    <w:basedOn w:val="Normal"/>
    <w:next w:val="Normal"/>
    <w:rsid w:val="008C4FA4"/>
    <w:pPr>
      <w:keepNext/>
      <w:keepLines/>
      <w:spacing w:before="220" w:after="40"/>
      <w:contextualSpacing/>
      <w:outlineLvl w:val="4"/>
    </w:pPr>
    <w:rPr>
      <w:b/>
      <w:sz w:val="22"/>
      <w:szCs w:val="22"/>
    </w:rPr>
  </w:style>
  <w:style w:type="paragraph" w:styleId="Heading6">
    <w:name w:val="heading 6"/>
    <w:basedOn w:val="Normal"/>
    <w:next w:val="Normal"/>
    <w:rsid w:val="008C4F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C4FA4"/>
    <w:pPr>
      <w:keepNext/>
      <w:keepLines/>
      <w:spacing w:before="480" w:after="120"/>
      <w:contextualSpacing/>
    </w:pPr>
    <w:rPr>
      <w:b/>
      <w:sz w:val="72"/>
      <w:szCs w:val="72"/>
    </w:rPr>
  </w:style>
  <w:style w:type="paragraph" w:styleId="Subtitle">
    <w:name w:val="Subtitle"/>
    <w:basedOn w:val="Normal"/>
    <w:next w:val="Normal"/>
    <w:rsid w:val="008C4FA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C4FA4"/>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C4FA4"/>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8C4FA4"/>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8C4FA4"/>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D64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03B"/>
  </w:style>
  <w:style w:type="paragraph" w:styleId="Footer">
    <w:name w:val="footer"/>
    <w:basedOn w:val="Normal"/>
    <w:link w:val="FooterChar"/>
    <w:uiPriority w:val="99"/>
    <w:unhideWhenUsed/>
    <w:rsid w:val="00D64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03B"/>
  </w:style>
  <w:style w:type="paragraph" w:styleId="BalloonText">
    <w:name w:val="Balloon Text"/>
    <w:basedOn w:val="Normal"/>
    <w:link w:val="BalloonTextChar"/>
    <w:uiPriority w:val="99"/>
    <w:semiHidden/>
    <w:unhideWhenUsed/>
    <w:rsid w:val="00D64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5C1"/>
  </w:style>
  <w:style w:type="paragraph" w:styleId="Heading1">
    <w:name w:val="heading 1"/>
    <w:basedOn w:val="Normal"/>
    <w:next w:val="Normal"/>
    <w:rsid w:val="008C4FA4"/>
    <w:pPr>
      <w:keepNext/>
      <w:keepLines/>
      <w:jc w:val="center"/>
      <w:outlineLvl w:val="0"/>
    </w:pPr>
    <w:rPr>
      <w:b/>
      <w:sz w:val="28"/>
      <w:szCs w:val="28"/>
    </w:rPr>
  </w:style>
  <w:style w:type="paragraph" w:styleId="Heading2">
    <w:name w:val="heading 2"/>
    <w:basedOn w:val="Normal"/>
    <w:next w:val="Normal"/>
    <w:rsid w:val="008C4FA4"/>
    <w:pPr>
      <w:keepNext/>
      <w:keepLines/>
      <w:spacing w:before="200" w:after="0"/>
      <w:jc w:val="center"/>
      <w:outlineLvl w:val="1"/>
    </w:pPr>
    <w:rPr>
      <w:b/>
    </w:rPr>
  </w:style>
  <w:style w:type="paragraph" w:styleId="Heading3">
    <w:name w:val="heading 3"/>
    <w:basedOn w:val="Normal"/>
    <w:next w:val="Normal"/>
    <w:rsid w:val="008C4FA4"/>
    <w:pPr>
      <w:keepNext/>
      <w:keepLines/>
      <w:spacing w:before="280" w:after="80"/>
      <w:contextualSpacing/>
      <w:outlineLvl w:val="2"/>
    </w:pPr>
    <w:rPr>
      <w:b/>
      <w:sz w:val="28"/>
      <w:szCs w:val="28"/>
    </w:rPr>
  </w:style>
  <w:style w:type="paragraph" w:styleId="Heading4">
    <w:name w:val="heading 4"/>
    <w:basedOn w:val="Normal"/>
    <w:next w:val="Normal"/>
    <w:rsid w:val="008C4FA4"/>
    <w:pPr>
      <w:keepNext/>
      <w:keepLines/>
      <w:spacing w:before="240" w:after="40"/>
      <w:contextualSpacing/>
      <w:outlineLvl w:val="3"/>
    </w:pPr>
    <w:rPr>
      <w:b/>
    </w:rPr>
  </w:style>
  <w:style w:type="paragraph" w:styleId="Heading5">
    <w:name w:val="heading 5"/>
    <w:basedOn w:val="Normal"/>
    <w:next w:val="Normal"/>
    <w:rsid w:val="008C4FA4"/>
    <w:pPr>
      <w:keepNext/>
      <w:keepLines/>
      <w:spacing w:before="220" w:after="40"/>
      <w:contextualSpacing/>
      <w:outlineLvl w:val="4"/>
    </w:pPr>
    <w:rPr>
      <w:b/>
      <w:sz w:val="22"/>
      <w:szCs w:val="22"/>
    </w:rPr>
  </w:style>
  <w:style w:type="paragraph" w:styleId="Heading6">
    <w:name w:val="heading 6"/>
    <w:basedOn w:val="Normal"/>
    <w:next w:val="Normal"/>
    <w:rsid w:val="008C4F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C4FA4"/>
    <w:pPr>
      <w:keepNext/>
      <w:keepLines/>
      <w:spacing w:before="480" w:after="120"/>
      <w:contextualSpacing/>
    </w:pPr>
    <w:rPr>
      <w:b/>
      <w:sz w:val="72"/>
      <w:szCs w:val="72"/>
    </w:rPr>
  </w:style>
  <w:style w:type="paragraph" w:styleId="Subtitle">
    <w:name w:val="Subtitle"/>
    <w:basedOn w:val="Normal"/>
    <w:next w:val="Normal"/>
    <w:rsid w:val="008C4FA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C4FA4"/>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C4FA4"/>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8C4FA4"/>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8C4FA4"/>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D64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03B"/>
  </w:style>
  <w:style w:type="paragraph" w:styleId="Footer">
    <w:name w:val="footer"/>
    <w:basedOn w:val="Normal"/>
    <w:link w:val="FooterChar"/>
    <w:uiPriority w:val="99"/>
    <w:unhideWhenUsed/>
    <w:rsid w:val="00D64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03B"/>
  </w:style>
  <w:style w:type="paragraph" w:styleId="BalloonText">
    <w:name w:val="Balloon Text"/>
    <w:basedOn w:val="Normal"/>
    <w:link w:val="BalloonTextChar"/>
    <w:uiPriority w:val="99"/>
    <w:semiHidden/>
    <w:unhideWhenUsed/>
    <w:rsid w:val="00D64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88066">
      <w:bodyDiv w:val="1"/>
      <w:marLeft w:val="0"/>
      <w:marRight w:val="0"/>
      <w:marTop w:val="0"/>
      <w:marBottom w:val="0"/>
      <w:divBdr>
        <w:top w:val="none" w:sz="0" w:space="0" w:color="auto"/>
        <w:left w:val="none" w:sz="0" w:space="0" w:color="auto"/>
        <w:bottom w:val="none" w:sz="0" w:space="0" w:color="auto"/>
        <w:right w:val="none" w:sz="0" w:space="0" w:color="auto"/>
      </w:divBdr>
    </w:div>
    <w:div w:id="807674844">
      <w:bodyDiv w:val="1"/>
      <w:marLeft w:val="0"/>
      <w:marRight w:val="0"/>
      <w:marTop w:val="0"/>
      <w:marBottom w:val="0"/>
      <w:divBdr>
        <w:top w:val="none" w:sz="0" w:space="0" w:color="auto"/>
        <w:left w:val="none" w:sz="0" w:space="0" w:color="auto"/>
        <w:bottom w:val="none" w:sz="0" w:space="0" w:color="auto"/>
        <w:right w:val="none" w:sz="0" w:space="0" w:color="auto"/>
      </w:divBdr>
    </w:div>
    <w:div w:id="979850304">
      <w:bodyDiv w:val="1"/>
      <w:marLeft w:val="0"/>
      <w:marRight w:val="0"/>
      <w:marTop w:val="0"/>
      <w:marBottom w:val="0"/>
      <w:divBdr>
        <w:top w:val="none" w:sz="0" w:space="0" w:color="auto"/>
        <w:left w:val="none" w:sz="0" w:space="0" w:color="auto"/>
        <w:bottom w:val="none" w:sz="0" w:space="0" w:color="auto"/>
        <w:right w:val="none" w:sz="0" w:space="0" w:color="auto"/>
      </w:divBdr>
    </w:div>
    <w:div w:id="1673680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A2C1-3B00-46C5-A7C6-D1813BF1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Georges River Grammar</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Chemistry</dc:title>
  <dc:creator>NESA</dc:creator>
  <cp:lastModifiedBy>Lauren Wood</cp:lastModifiedBy>
  <cp:revision>23</cp:revision>
  <cp:lastPrinted>2017-03-27T07:56:00Z</cp:lastPrinted>
  <dcterms:created xsi:type="dcterms:W3CDTF">2017-02-07T22:03:00Z</dcterms:created>
  <dcterms:modified xsi:type="dcterms:W3CDTF">2017-03-28T02:45:00Z</dcterms:modified>
</cp:coreProperties>
</file>