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4" w:rsidRDefault="00E73BF4" w:rsidP="005F0790">
      <w:pPr>
        <w:pStyle w:val="Heading1"/>
        <w:jc w:val="center"/>
      </w:pPr>
      <w:bookmarkStart w:id="0" w:name="_GoBack"/>
      <w:bookmarkEnd w:id="0"/>
    </w:p>
    <w:p w:rsidR="003C1E54" w:rsidRDefault="002C23AA" w:rsidP="005F0790">
      <w:pPr>
        <w:pStyle w:val="Heading1"/>
        <w:jc w:val="center"/>
      </w:pPr>
      <w:r>
        <w:t xml:space="preserve">Sample </w:t>
      </w:r>
      <w:r w:rsidR="00A2573A">
        <w:t xml:space="preserve">Scope and Sequence: </w:t>
      </w:r>
      <w:r w:rsidR="004542B3">
        <w:t>Biology</w:t>
      </w:r>
      <w:r w:rsidR="003C1E54" w:rsidRPr="003C1E54">
        <w:t xml:space="preserve"> – Year</w:t>
      </w:r>
      <w:r w:rsidR="004542B3">
        <w:t xml:space="preserve"> 11</w:t>
      </w:r>
    </w:p>
    <w:p w:rsidR="0013078C" w:rsidRPr="0013078C" w:rsidRDefault="0013078C" w:rsidP="0013078C">
      <w:pPr>
        <w:jc w:val="center"/>
        <w:rPr>
          <w:b/>
          <w:i/>
          <w:sz w:val="20"/>
          <w:szCs w:val="20"/>
        </w:rPr>
      </w:pPr>
      <w:r w:rsidRPr="0013078C">
        <w:rPr>
          <w:b/>
          <w:i/>
          <w:sz w:val="20"/>
          <w:szCs w:val="20"/>
        </w:rPr>
        <w:t>Sample for implementation for Year 11 from 2018</w:t>
      </w:r>
    </w:p>
    <w:p w:rsidR="00BC4C22" w:rsidRPr="00BC4C22" w:rsidRDefault="00BC4C22" w:rsidP="00BC4C22">
      <w:pPr>
        <w:rPr>
          <w:sz w:val="20"/>
          <w:szCs w:val="20"/>
        </w:rPr>
      </w:pPr>
      <w:r>
        <w:rPr>
          <w:sz w:val="20"/>
          <w:szCs w:val="20"/>
        </w:rPr>
        <w:t>The follow</w:t>
      </w:r>
      <w:r w:rsidR="00F630F8">
        <w:rPr>
          <w:sz w:val="20"/>
          <w:szCs w:val="20"/>
        </w:rPr>
        <w:t>ing model illustrates</w:t>
      </w:r>
      <w:r>
        <w:rPr>
          <w:sz w:val="20"/>
          <w:szCs w:val="20"/>
        </w:rPr>
        <w:t xml:space="preserve"> a single 15 hour depth study </w:t>
      </w:r>
      <w:r w:rsidR="004408AB">
        <w:rPr>
          <w:sz w:val="20"/>
          <w:szCs w:val="20"/>
        </w:rPr>
        <w:t xml:space="preserve">that </w:t>
      </w:r>
      <w:r w:rsidR="005A3832">
        <w:rPr>
          <w:sz w:val="20"/>
          <w:szCs w:val="20"/>
        </w:rPr>
        <w:t>includ</w:t>
      </w:r>
      <w:r w:rsidR="004408AB">
        <w:rPr>
          <w:sz w:val="20"/>
          <w:szCs w:val="20"/>
        </w:rPr>
        <w:t>es</w:t>
      </w:r>
      <w:r w:rsidR="005A3832">
        <w:rPr>
          <w:sz w:val="20"/>
          <w:szCs w:val="20"/>
        </w:rPr>
        <w:t xml:space="preserve"> content</w:t>
      </w:r>
      <w:r>
        <w:rPr>
          <w:sz w:val="20"/>
          <w:szCs w:val="20"/>
        </w:rPr>
        <w:t xml:space="preserve"> from Module 1 and Module 2</w:t>
      </w:r>
      <w:r w:rsidR="00E73BF4">
        <w:rPr>
          <w:sz w:val="20"/>
          <w:szCs w:val="20"/>
        </w:rPr>
        <w:t>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4C22" w:rsidRPr="005F0790" w:rsidTr="00BF6F66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4C22" w:rsidRPr="005F0790" w:rsidRDefault="00BC4C22" w:rsidP="00BC4C22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 xml:space="preserve">Term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4C22" w:rsidRPr="005F0790" w:rsidTr="00BF6F66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F72FCC">
            <w:pPr>
              <w:rPr>
                <w:sz w:val="22"/>
              </w:rPr>
            </w:pPr>
          </w:p>
        </w:tc>
        <w:tc>
          <w:tcPr>
            <w:tcW w:w="8984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B91DED" w:rsidRDefault="00BC4C22" w:rsidP="00BC4C22">
            <w:pPr>
              <w:rPr>
                <w:rFonts w:cs="Arial"/>
                <w:sz w:val="22"/>
              </w:rPr>
            </w:pPr>
            <w:r w:rsidRPr="00B91DED">
              <w:rPr>
                <w:rFonts w:cs="Arial"/>
                <w:b/>
                <w:sz w:val="22"/>
              </w:rPr>
              <w:t>Module 1: Cells as the Basis of Life</w:t>
            </w:r>
            <w:r w:rsidRPr="00B91DED">
              <w:rPr>
                <w:rFonts w:cs="Arial"/>
                <w:sz w:val="22"/>
              </w:rPr>
              <w:t xml:space="preserve">  </w:t>
            </w:r>
          </w:p>
          <w:p w:rsidR="00BC4C22" w:rsidRPr="005F0790" w:rsidRDefault="00BC4C22" w:rsidP="00BC4C22">
            <w:pPr>
              <w:rPr>
                <w:rFonts w:cs="Arial"/>
                <w:sz w:val="22"/>
                <w:highlight w:val="yellow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Pr="00924937">
              <w:rPr>
                <w:sz w:val="20"/>
                <w:szCs w:val="20"/>
              </w:rPr>
              <w:t xml:space="preserve">investigate biochemical processes </w:t>
            </w:r>
            <w:r>
              <w:rPr>
                <w:sz w:val="20"/>
                <w:szCs w:val="20"/>
              </w:rPr>
              <w:t xml:space="preserve">of photosynthesis and respiration, the way substances move into and out of cells and how the structure of organelles, cells and tissues affect the functioning or organisms. 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BC4C22" w:rsidRPr="00B91DED" w:rsidRDefault="00BC4C22" w:rsidP="00BC4C22">
            <w:pPr>
              <w:rPr>
                <w:rFonts w:cs="Arial"/>
                <w:b/>
                <w:sz w:val="22"/>
              </w:rPr>
            </w:pPr>
            <w:r w:rsidRPr="00B91DED">
              <w:rPr>
                <w:rFonts w:cs="Arial"/>
                <w:b/>
                <w:sz w:val="22"/>
              </w:rPr>
              <w:t>Module 2: Organisation of Living Things</w:t>
            </w:r>
          </w:p>
          <w:p w:rsidR="00BC4C22" w:rsidRPr="001B5660" w:rsidRDefault="00BC4C22" w:rsidP="00BC4C22">
            <w:pPr>
              <w:rPr>
                <w:rFonts w:cs="Arial"/>
                <w:b/>
                <w:i/>
                <w:sz w:val="22"/>
                <w:highlight w:val="yellow"/>
              </w:rPr>
            </w:pPr>
            <w:r w:rsidRPr="00924937">
              <w:rPr>
                <w:sz w:val="20"/>
                <w:szCs w:val="20"/>
              </w:rPr>
              <w:t>Students examine the relationship between transport systems</w:t>
            </w:r>
            <w:r>
              <w:rPr>
                <w:sz w:val="20"/>
                <w:szCs w:val="20"/>
              </w:rPr>
              <w:t xml:space="preserve"> in living things</w:t>
            </w:r>
            <w:r w:rsidRPr="00924937">
              <w:rPr>
                <w:sz w:val="20"/>
                <w:szCs w:val="20"/>
              </w:rPr>
              <w:t xml:space="preserve"> and compare nutrient and gas requirements.</w:t>
            </w:r>
            <w:r>
              <w:rPr>
                <w:rFonts w:cs="Arial"/>
                <w:b/>
                <w:i/>
                <w:sz w:val="22"/>
              </w:rPr>
              <w:t xml:space="preserve"> </w:t>
            </w:r>
          </w:p>
        </w:tc>
      </w:tr>
      <w:tr w:rsidR="00BC4C22" w:rsidRPr="005F0790" w:rsidTr="00BF6F66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F72FCC">
            <w:pPr>
              <w:rPr>
                <w:i/>
                <w:sz w:val="22"/>
              </w:rPr>
            </w:pPr>
          </w:p>
        </w:tc>
        <w:tc>
          <w:tcPr>
            <w:tcW w:w="8984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5F0790">
            <w:pPr>
              <w:contextualSpacing/>
              <w:rPr>
                <w:rFonts w:cs="Arial"/>
                <w:sz w:val="22"/>
                <w:highlight w:val="yellow"/>
              </w:rPr>
            </w:pPr>
            <w:r w:rsidRPr="00924937">
              <w:rPr>
                <w:sz w:val="20"/>
                <w:szCs w:val="20"/>
              </w:rPr>
              <w:t>BIO11/12-3, BIO11/12-4, BIO11-8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BC4C22" w:rsidRPr="005F0790" w:rsidRDefault="00BC4C22" w:rsidP="005F0790">
            <w:pPr>
              <w:rPr>
                <w:rFonts w:cs="Arial"/>
                <w:sz w:val="22"/>
                <w:highlight w:val="yellow"/>
              </w:rPr>
            </w:pPr>
            <w:r w:rsidRPr="00896105">
              <w:rPr>
                <w:sz w:val="20"/>
                <w:szCs w:val="20"/>
              </w:rPr>
              <w:t>BIO11/12-4</w:t>
            </w:r>
            <w:r w:rsidRPr="00924937">
              <w:rPr>
                <w:sz w:val="20"/>
                <w:szCs w:val="20"/>
              </w:rPr>
              <w:t>, BIO11/12-6,</w:t>
            </w:r>
            <w:r>
              <w:rPr>
                <w:sz w:val="20"/>
                <w:szCs w:val="20"/>
              </w:rPr>
              <w:t xml:space="preserve"> </w:t>
            </w:r>
            <w:r w:rsidRPr="00924937">
              <w:rPr>
                <w:sz w:val="20"/>
                <w:szCs w:val="20"/>
              </w:rPr>
              <w:t>BIO11/12-7, BIO11-9</w:t>
            </w:r>
          </w:p>
        </w:tc>
      </w:tr>
    </w:tbl>
    <w:p w:rsidR="00E44BAA" w:rsidRDefault="00E44BAA" w:rsidP="005F0790">
      <w:pPr>
        <w:spacing w:after="0" w:line="240" w:lineRule="auto"/>
      </w:pPr>
    </w:p>
    <w:p w:rsidR="002B0392" w:rsidRDefault="002B0392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4C22" w:rsidRPr="005F0790" w:rsidTr="0078580A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4C22" w:rsidRPr="005F0790" w:rsidRDefault="00BC4C22" w:rsidP="00BC4C2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4C22" w:rsidRPr="005F0790" w:rsidTr="0078580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F72FCC">
            <w:pPr>
              <w:rPr>
                <w:sz w:val="22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B91DED" w:rsidRDefault="00C25156" w:rsidP="00E66717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Module 2: </w:t>
            </w:r>
            <w:r w:rsidR="00BC4C22" w:rsidRPr="00B91DED">
              <w:rPr>
                <w:rFonts w:cs="Arial"/>
                <w:b/>
                <w:sz w:val="22"/>
              </w:rPr>
              <w:t>Organisation of Living Things</w:t>
            </w:r>
          </w:p>
          <w:p w:rsidR="00BC4C22" w:rsidRPr="001B5660" w:rsidRDefault="00BC4C22" w:rsidP="00772978">
            <w:pPr>
              <w:contextualSpacing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5990" w:type="dxa"/>
            <w:gridSpan w:val="4"/>
            <w:tcBorders>
              <w:left w:val="nil"/>
            </w:tcBorders>
            <w:shd w:val="clear" w:color="auto" w:fill="auto"/>
          </w:tcPr>
          <w:p w:rsidR="00BC4C22" w:rsidRPr="00B91DED" w:rsidRDefault="00BC4C22" w:rsidP="00E66717">
            <w:pPr>
              <w:contextualSpacing/>
              <w:rPr>
                <w:rFonts w:cs="Arial"/>
                <w:sz w:val="22"/>
              </w:rPr>
            </w:pPr>
            <w:r w:rsidRPr="00B91DED">
              <w:rPr>
                <w:rFonts w:cs="Arial"/>
                <w:b/>
                <w:sz w:val="22"/>
              </w:rPr>
              <w:t xml:space="preserve">Depth </w:t>
            </w:r>
            <w:r w:rsidR="00B91DED">
              <w:rPr>
                <w:rFonts w:cs="Arial"/>
                <w:b/>
                <w:sz w:val="22"/>
              </w:rPr>
              <w:t>Study:</w:t>
            </w:r>
            <w:r w:rsidR="00B91DED">
              <w:rPr>
                <w:rFonts w:cs="Arial"/>
                <w:sz w:val="22"/>
              </w:rPr>
              <w:t xml:space="preserve"> 15 hours</w:t>
            </w:r>
          </w:p>
          <w:p w:rsidR="00BC4C22" w:rsidRPr="00B91DED" w:rsidRDefault="00BC4C22" w:rsidP="00E66717">
            <w:pPr>
              <w:contextualSpacing/>
              <w:rPr>
                <w:rFonts w:cs="Arial"/>
                <w:i/>
                <w:sz w:val="22"/>
                <w:highlight w:val="yellow"/>
              </w:rPr>
            </w:pPr>
            <w:r w:rsidRPr="00B91DED">
              <w:rPr>
                <w:rFonts w:cs="Arial"/>
                <w:sz w:val="22"/>
              </w:rPr>
              <w:t xml:space="preserve">Microorganisms and </w:t>
            </w:r>
            <w:proofErr w:type="spellStart"/>
            <w:r w:rsidRPr="00B91DED">
              <w:rPr>
                <w:rFonts w:cs="Arial"/>
                <w:sz w:val="22"/>
              </w:rPr>
              <w:t>macroorganisms</w:t>
            </w:r>
            <w:proofErr w:type="spellEnd"/>
            <w:r w:rsidRPr="00B91DED">
              <w:rPr>
                <w:rFonts w:cs="Arial"/>
                <w:sz w:val="22"/>
              </w:rPr>
              <w:t xml:space="preserve"> in water</w:t>
            </w:r>
          </w:p>
        </w:tc>
        <w:tc>
          <w:tcPr>
            <w:tcW w:w="599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B91DED" w:rsidRDefault="00BC4C22" w:rsidP="008F01A3">
            <w:pPr>
              <w:rPr>
                <w:rFonts w:cs="Arial"/>
                <w:b/>
                <w:sz w:val="22"/>
              </w:rPr>
            </w:pPr>
            <w:r w:rsidRPr="00B91DED">
              <w:rPr>
                <w:rFonts w:cs="Arial"/>
                <w:b/>
                <w:sz w:val="22"/>
              </w:rPr>
              <w:t xml:space="preserve">Module 3: A Trip to Galapagos </w:t>
            </w:r>
          </w:p>
          <w:p w:rsidR="00BC4C22" w:rsidRPr="005F0790" w:rsidRDefault="00BC4C22" w:rsidP="00772978">
            <w:pPr>
              <w:contextualSpacing/>
              <w:rPr>
                <w:rFonts w:cs="Arial"/>
                <w:sz w:val="22"/>
                <w:highlight w:val="yellow"/>
              </w:rPr>
            </w:pPr>
            <w:r w:rsidRPr="004D14B9">
              <w:rPr>
                <w:sz w:val="20"/>
                <w:szCs w:val="20"/>
              </w:rPr>
              <w:t xml:space="preserve">In this contextualised </w:t>
            </w:r>
            <w:r>
              <w:rPr>
                <w:sz w:val="20"/>
                <w:szCs w:val="20"/>
              </w:rPr>
              <w:t>unit</w:t>
            </w:r>
            <w:r w:rsidRPr="004D14B9">
              <w:rPr>
                <w:sz w:val="20"/>
                <w:szCs w:val="20"/>
              </w:rPr>
              <w:t xml:space="preserve">, students </w:t>
            </w:r>
            <w:r>
              <w:rPr>
                <w:sz w:val="20"/>
                <w:szCs w:val="20"/>
              </w:rPr>
              <w:t>analyse data gathered by Darwin on his voyage to the Galapagos</w:t>
            </w:r>
            <w:r w:rsidRPr="004D14B9">
              <w:rPr>
                <w:sz w:val="20"/>
                <w:szCs w:val="20"/>
              </w:rPr>
              <w:t xml:space="preserve"> </w:t>
            </w:r>
          </w:p>
        </w:tc>
      </w:tr>
      <w:tr w:rsidR="00BC4C22" w:rsidRPr="005F0790" w:rsidTr="0078580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F72FCC">
            <w:pPr>
              <w:rPr>
                <w:i/>
                <w:sz w:val="22"/>
              </w:rPr>
            </w:pPr>
          </w:p>
        </w:tc>
        <w:tc>
          <w:tcPr>
            <w:tcW w:w="2994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BC4C22">
            <w:pPr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5990" w:type="dxa"/>
            <w:gridSpan w:val="4"/>
            <w:tcBorders>
              <w:left w:val="nil"/>
            </w:tcBorders>
            <w:shd w:val="clear" w:color="auto" w:fill="auto"/>
          </w:tcPr>
          <w:p w:rsidR="00BC4C22" w:rsidRPr="005F0790" w:rsidRDefault="00BC4C22" w:rsidP="00E66717">
            <w:pPr>
              <w:rPr>
                <w:rFonts w:cs="Arial"/>
                <w:sz w:val="22"/>
                <w:highlight w:val="yellow"/>
              </w:rPr>
            </w:pPr>
            <w:r w:rsidRPr="00BF6F66">
              <w:rPr>
                <w:sz w:val="20"/>
                <w:szCs w:val="20"/>
              </w:rPr>
              <w:t>BIO11/12-1, BIO11/12-2</w:t>
            </w:r>
            <w:r w:rsidRPr="002B0392">
              <w:rPr>
                <w:sz w:val="20"/>
                <w:szCs w:val="20"/>
              </w:rPr>
              <w:t>,</w:t>
            </w:r>
            <w:r w:rsidRPr="00924937">
              <w:rPr>
                <w:sz w:val="20"/>
                <w:szCs w:val="20"/>
              </w:rPr>
              <w:t xml:space="preserve"> BIO11/12-3, BIO11/12-4, </w:t>
            </w:r>
            <w:r w:rsidRPr="00BF6F66">
              <w:rPr>
                <w:sz w:val="20"/>
                <w:szCs w:val="20"/>
              </w:rPr>
              <w:t>BIO11/12-5</w:t>
            </w:r>
            <w:r w:rsidRPr="002B0392">
              <w:rPr>
                <w:sz w:val="20"/>
                <w:szCs w:val="20"/>
              </w:rPr>
              <w:t>,</w:t>
            </w:r>
            <w:r w:rsidRPr="00924937">
              <w:rPr>
                <w:sz w:val="20"/>
                <w:szCs w:val="20"/>
              </w:rPr>
              <w:t xml:space="preserve"> BIO11/12-6, BIO11/12-7,</w:t>
            </w:r>
            <w:r>
              <w:rPr>
                <w:sz w:val="20"/>
                <w:szCs w:val="20"/>
              </w:rPr>
              <w:t xml:space="preserve"> </w:t>
            </w:r>
            <w:r w:rsidRPr="00924937">
              <w:rPr>
                <w:sz w:val="20"/>
                <w:szCs w:val="20"/>
              </w:rPr>
              <w:t>BIO11-8</w:t>
            </w:r>
            <w:r>
              <w:rPr>
                <w:sz w:val="20"/>
                <w:szCs w:val="20"/>
              </w:rPr>
              <w:t xml:space="preserve">, </w:t>
            </w:r>
            <w:r w:rsidRPr="00924937">
              <w:rPr>
                <w:sz w:val="20"/>
                <w:szCs w:val="20"/>
              </w:rPr>
              <w:t>BIO11-9</w:t>
            </w:r>
          </w:p>
        </w:tc>
        <w:tc>
          <w:tcPr>
            <w:tcW w:w="599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BC4C22">
            <w:pPr>
              <w:rPr>
                <w:rFonts w:cs="Arial"/>
                <w:sz w:val="22"/>
                <w:highlight w:val="yellow"/>
              </w:rPr>
            </w:pPr>
            <w:r w:rsidRPr="008F01A3">
              <w:rPr>
                <w:sz w:val="20"/>
                <w:szCs w:val="20"/>
              </w:rPr>
              <w:t xml:space="preserve">BIO11/12-1, BIO11/12-2, </w:t>
            </w:r>
            <w:r w:rsidRPr="00BF6F66">
              <w:rPr>
                <w:rFonts w:cs="Arial"/>
                <w:sz w:val="20"/>
                <w:szCs w:val="20"/>
              </w:rPr>
              <w:t>BIO11/12-4, BIO11/12-5, BIO11/12-6,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F01A3">
              <w:rPr>
                <w:sz w:val="20"/>
                <w:szCs w:val="20"/>
              </w:rPr>
              <w:t>BIO11/12-7</w:t>
            </w:r>
            <w:r>
              <w:rPr>
                <w:sz w:val="20"/>
                <w:szCs w:val="20"/>
              </w:rPr>
              <w:t xml:space="preserve">, </w:t>
            </w:r>
            <w:r w:rsidRPr="008F01A3">
              <w:rPr>
                <w:sz w:val="20"/>
                <w:szCs w:val="20"/>
              </w:rPr>
              <w:t>BIO11-10</w:t>
            </w:r>
          </w:p>
        </w:tc>
      </w:tr>
    </w:tbl>
    <w:p w:rsidR="005F0790" w:rsidRDefault="005F0790" w:rsidP="005F0790">
      <w:pPr>
        <w:spacing w:after="0" w:line="240" w:lineRule="auto"/>
      </w:pPr>
    </w:p>
    <w:p w:rsidR="002B0392" w:rsidRPr="00924937" w:rsidRDefault="002B0392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4C22" w:rsidRPr="005F0790" w:rsidTr="00BC4C22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4C22" w:rsidRPr="00924937" w:rsidRDefault="00BC4C22" w:rsidP="00BC4C22">
            <w:pPr>
              <w:ind w:left="113" w:right="113"/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10</w:t>
            </w:r>
          </w:p>
        </w:tc>
      </w:tr>
      <w:tr w:rsidR="00BC4C22" w:rsidRPr="005F0790" w:rsidTr="00BC4C2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F72FCC">
            <w:pPr>
              <w:rPr>
                <w:sz w:val="22"/>
              </w:rPr>
            </w:pPr>
          </w:p>
        </w:tc>
        <w:tc>
          <w:tcPr>
            <w:tcW w:w="59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B91DED" w:rsidRDefault="00BC4C22" w:rsidP="008F01A3">
            <w:pPr>
              <w:rPr>
                <w:rFonts w:cs="Arial"/>
                <w:b/>
                <w:sz w:val="22"/>
              </w:rPr>
            </w:pPr>
            <w:r w:rsidRPr="00B91DED">
              <w:rPr>
                <w:rFonts w:cs="Arial"/>
                <w:b/>
                <w:sz w:val="22"/>
              </w:rPr>
              <w:t>Module 3: A Trip to Galapagos</w:t>
            </w:r>
          </w:p>
          <w:p w:rsidR="00BC4C22" w:rsidRPr="005F0790" w:rsidRDefault="00BC4C22" w:rsidP="00896105">
            <w:pPr>
              <w:rPr>
                <w:rFonts w:cs="Arial"/>
                <w:i/>
                <w:sz w:val="22"/>
              </w:rPr>
            </w:pPr>
          </w:p>
        </w:tc>
        <w:tc>
          <w:tcPr>
            <w:tcW w:w="89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B91DED" w:rsidRDefault="00BC4C22" w:rsidP="00E66717">
            <w:pPr>
              <w:rPr>
                <w:rFonts w:cs="Arial"/>
                <w:b/>
                <w:sz w:val="22"/>
              </w:rPr>
            </w:pPr>
            <w:r w:rsidRPr="00B91DED">
              <w:rPr>
                <w:rFonts w:cs="Arial"/>
                <w:b/>
                <w:sz w:val="22"/>
              </w:rPr>
              <w:t xml:space="preserve">Module 4: Ecosystem Dynamics </w:t>
            </w:r>
          </w:p>
          <w:p w:rsidR="00BC4C22" w:rsidRPr="00346FF3" w:rsidRDefault="00BC4C22" w:rsidP="00E66717">
            <w:pPr>
              <w:rPr>
                <w:rFonts w:cs="Arial"/>
                <w:b/>
                <w:i/>
                <w:sz w:val="20"/>
                <w:szCs w:val="20"/>
              </w:rPr>
            </w:pPr>
            <w:r w:rsidRPr="00346FF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Students engage in the study of past ecosystems and create models of possible future ecosystems so that human impact on biodiversity can be minimised.</w:t>
            </w:r>
          </w:p>
        </w:tc>
      </w:tr>
      <w:tr w:rsidR="00BC4C22" w:rsidRPr="005F0790" w:rsidTr="00BC4C2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F72FCC">
            <w:pPr>
              <w:rPr>
                <w:i/>
                <w:sz w:val="22"/>
              </w:rPr>
            </w:pPr>
          </w:p>
        </w:tc>
        <w:tc>
          <w:tcPr>
            <w:tcW w:w="59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5F0790" w:rsidRDefault="00BC4C22" w:rsidP="00E66717">
            <w:pPr>
              <w:rPr>
                <w:rFonts w:cs="Arial"/>
                <w:sz w:val="22"/>
              </w:rPr>
            </w:pPr>
          </w:p>
        </w:tc>
        <w:tc>
          <w:tcPr>
            <w:tcW w:w="89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C22" w:rsidRPr="00924937" w:rsidRDefault="00BC4C22" w:rsidP="00E66717">
            <w:pPr>
              <w:rPr>
                <w:rFonts w:cs="Arial"/>
                <w:sz w:val="22"/>
              </w:rPr>
            </w:pPr>
            <w:r w:rsidRPr="00924937">
              <w:rPr>
                <w:sz w:val="20"/>
                <w:szCs w:val="20"/>
              </w:rPr>
              <w:t xml:space="preserve">BIO11/12-1, BIO11/12-2, BIO11/12-3, BIO11/12-4, BIO11/12-5, </w:t>
            </w:r>
            <w:r w:rsidRPr="00BF6F66">
              <w:rPr>
                <w:rFonts w:cs="Arial"/>
                <w:sz w:val="20"/>
                <w:szCs w:val="20"/>
              </w:rPr>
              <w:t>BIO11/12-6,  BIO11/12-7</w:t>
            </w:r>
            <w:r w:rsidRPr="000D1345">
              <w:rPr>
                <w:rFonts w:cs="Arial"/>
                <w:i/>
                <w:sz w:val="20"/>
                <w:szCs w:val="20"/>
              </w:rPr>
              <w:t>,</w:t>
            </w:r>
            <w:r>
              <w:rPr>
                <w:rFonts w:cs="Arial"/>
                <w:sz w:val="22"/>
              </w:rPr>
              <w:t xml:space="preserve"> </w:t>
            </w:r>
            <w:r w:rsidRPr="00924937">
              <w:rPr>
                <w:sz w:val="20"/>
                <w:szCs w:val="20"/>
              </w:rPr>
              <w:t>BIO11-11</w:t>
            </w:r>
          </w:p>
        </w:tc>
      </w:tr>
    </w:tbl>
    <w:p w:rsidR="005F0790" w:rsidRPr="00A2573A" w:rsidRDefault="005F0790" w:rsidP="005F0790"/>
    <w:sectPr w:rsidR="005F0790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02" w:rsidRDefault="00A81502" w:rsidP="002C40AF">
      <w:pPr>
        <w:spacing w:after="0" w:line="240" w:lineRule="auto"/>
      </w:pPr>
      <w:r>
        <w:separator/>
      </w:r>
    </w:p>
  </w:endnote>
  <w:endnote w:type="continuationSeparator" w:id="0">
    <w:p w:rsidR="00A81502" w:rsidRDefault="00A81502" w:rsidP="002C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02" w:rsidRDefault="00A81502" w:rsidP="002C40AF">
      <w:pPr>
        <w:spacing w:after="0" w:line="240" w:lineRule="auto"/>
      </w:pPr>
      <w:r>
        <w:separator/>
      </w:r>
    </w:p>
  </w:footnote>
  <w:footnote w:type="continuationSeparator" w:id="0">
    <w:p w:rsidR="00A81502" w:rsidRDefault="00A81502" w:rsidP="002C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C3"/>
    <w:multiLevelType w:val="multilevel"/>
    <w:tmpl w:val="7ED88436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71B6897"/>
    <w:multiLevelType w:val="multilevel"/>
    <w:tmpl w:val="5B60D71C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03587"/>
    <w:rsid w:val="00062857"/>
    <w:rsid w:val="000A04C7"/>
    <w:rsid w:val="000D1345"/>
    <w:rsid w:val="000E0E67"/>
    <w:rsid w:val="000E2246"/>
    <w:rsid w:val="00114ABB"/>
    <w:rsid w:val="00123DC2"/>
    <w:rsid w:val="00125D58"/>
    <w:rsid w:val="0013078C"/>
    <w:rsid w:val="00135EF9"/>
    <w:rsid w:val="0015477C"/>
    <w:rsid w:val="00163CF1"/>
    <w:rsid w:val="00175419"/>
    <w:rsid w:val="001B5660"/>
    <w:rsid w:val="001F41E9"/>
    <w:rsid w:val="00255980"/>
    <w:rsid w:val="002758CC"/>
    <w:rsid w:val="002B0392"/>
    <w:rsid w:val="002C23AA"/>
    <w:rsid w:val="002C40AF"/>
    <w:rsid w:val="00346FF3"/>
    <w:rsid w:val="003C1E54"/>
    <w:rsid w:val="004408AB"/>
    <w:rsid w:val="004542B3"/>
    <w:rsid w:val="00484DC1"/>
    <w:rsid w:val="00495F6C"/>
    <w:rsid w:val="004B197C"/>
    <w:rsid w:val="004D0185"/>
    <w:rsid w:val="00513E81"/>
    <w:rsid w:val="005478F1"/>
    <w:rsid w:val="005479D3"/>
    <w:rsid w:val="005832DE"/>
    <w:rsid w:val="005A3832"/>
    <w:rsid w:val="005F0790"/>
    <w:rsid w:val="006136AF"/>
    <w:rsid w:val="00641F0D"/>
    <w:rsid w:val="00681D79"/>
    <w:rsid w:val="0071601B"/>
    <w:rsid w:val="0073068D"/>
    <w:rsid w:val="00772978"/>
    <w:rsid w:val="0078580A"/>
    <w:rsid w:val="007E0F8D"/>
    <w:rsid w:val="00885822"/>
    <w:rsid w:val="00896105"/>
    <w:rsid w:val="008E494C"/>
    <w:rsid w:val="008F01A3"/>
    <w:rsid w:val="008F7575"/>
    <w:rsid w:val="00924937"/>
    <w:rsid w:val="00927170"/>
    <w:rsid w:val="00936F7C"/>
    <w:rsid w:val="009942FF"/>
    <w:rsid w:val="009A3F0D"/>
    <w:rsid w:val="009B4BD3"/>
    <w:rsid w:val="00A22E10"/>
    <w:rsid w:val="00A2573A"/>
    <w:rsid w:val="00A54A2E"/>
    <w:rsid w:val="00A66BE2"/>
    <w:rsid w:val="00A81502"/>
    <w:rsid w:val="00AC714F"/>
    <w:rsid w:val="00B02558"/>
    <w:rsid w:val="00B402F0"/>
    <w:rsid w:val="00B91DED"/>
    <w:rsid w:val="00BA4453"/>
    <w:rsid w:val="00BC3311"/>
    <w:rsid w:val="00BC4C22"/>
    <w:rsid w:val="00BC7F0C"/>
    <w:rsid w:val="00BD529C"/>
    <w:rsid w:val="00BF6F66"/>
    <w:rsid w:val="00C25156"/>
    <w:rsid w:val="00C334B1"/>
    <w:rsid w:val="00C75980"/>
    <w:rsid w:val="00CA7C17"/>
    <w:rsid w:val="00CB266F"/>
    <w:rsid w:val="00CD760D"/>
    <w:rsid w:val="00CE6F3A"/>
    <w:rsid w:val="00CF01D7"/>
    <w:rsid w:val="00CF62DB"/>
    <w:rsid w:val="00D60149"/>
    <w:rsid w:val="00E3660C"/>
    <w:rsid w:val="00E44BAA"/>
    <w:rsid w:val="00E73BF4"/>
    <w:rsid w:val="00E82778"/>
    <w:rsid w:val="00F02BC4"/>
    <w:rsid w:val="00F07843"/>
    <w:rsid w:val="00F21D95"/>
    <w:rsid w:val="00F27714"/>
    <w:rsid w:val="00F331AE"/>
    <w:rsid w:val="00F630F8"/>
    <w:rsid w:val="00F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57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A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C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57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A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C4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Biology</dc:title>
  <dc:creator>NESA</dc:creator>
  <cp:lastModifiedBy>Lauren Wood</cp:lastModifiedBy>
  <cp:revision>35</cp:revision>
  <cp:lastPrinted>2017-03-27T10:13:00Z</cp:lastPrinted>
  <dcterms:created xsi:type="dcterms:W3CDTF">2017-01-17T22:30:00Z</dcterms:created>
  <dcterms:modified xsi:type="dcterms:W3CDTF">2017-03-28T02:56:00Z</dcterms:modified>
</cp:coreProperties>
</file>