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AE" w:rsidRDefault="00A302D8">
      <w:pPr>
        <w:pStyle w:val="Heading1"/>
        <w:rPr>
          <w:b w:val="0"/>
        </w:rPr>
      </w:pPr>
      <w:bookmarkStart w:id="0" w:name="_gjdgxs" w:colFirst="0" w:colLast="0"/>
      <w:bookmarkStart w:id="1" w:name="_GoBack"/>
      <w:bookmarkEnd w:id="0"/>
      <w:bookmarkEnd w:id="1"/>
      <w:r>
        <w:t>Sample Formal Assessment Task Notification</w:t>
      </w:r>
      <w:r>
        <w:rPr>
          <w:b w:val="0"/>
        </w:rPr>
        <w:t xml:space="preserve"> </w:t>
      </w:r>
    </w:p>
    <w:p w:rsidR="00345FAE" w:rsidRDefault="00A302D8">
      <w:pPr>
        <w:pStyle w:val="Heading1"/>
        <w:spacing w:before="120" w:after="120"/>
        <w:rPr>
          <w:b w:val="0"/>
        </w:rPr>
      </w:pPr>
      <w:r>
        <w:t>English Advanced – Year 11</w:t>
      </w:r>
    </w:p>
    <w:p w:rsidR="00BB3B5B" w:rsidRPr="00EA0CA9" w:rsidRDefault="00A302D8" w:rsidP="00EA0CA9">
      <w:pPr>
        <w:spacing w:line="240" w:lineRule="auto"/>
        <w:rPr>
          <w:sz w:val="22"/>
          <w:szCs w:val="22"/>
        </w:rPr>
      </w:pPr>
      <w:r w:rsidRPr="00EA0CA9">
        <w:rPr>
          <w:b/>
          <w:sz w:val="22"/>
          <w:szCs w:val="22"/>
        </w:rPr>
        <w:t>Context:</w:t>
      </w:r>
      <w:r w:rsidRPr="00EA0CA9">
        <w:rPr>
          <w:sz w:val="22"/>
          <w:szCs w:val="22"/>
        </w:rPr>
        <w:t xml:space="preserve"> </w:t>
      </w:r>
      <w:r w:rsidR="00BB3B5B" w:rsidRPr="00EA0CA9">
        <w:rPr>
          <w:sz w:val="22"/>
          <w:szCs w:val="22"/>
        </w:rPr>
        <w:t xml:space="preserve">In this unit, students have explored the </w:t>
      </w:r>
      <w:r w:rsidR="00E66A1A" w:rsidRPr="00EA0CA9">
        <w:rPr>
          <w:sz w:val="22"/>
          <w:szCs w:val="22"/>
        </w:rPr>
        <w:t>act</w:t>
      </w:r>
      <w:r w:rsidR="00BB3B5B" w:rsidRPr="00EA0CA9">
        <w:rPr>
          <w:sz w:val="22"/>
          <w:szCs w:val="22"/>
        </w:rPr>
        <w:t xml:space="preserve"> of reading and how this is closely linked to the process of writing. They have examined their own </w:t>
      </w:r>
      <w:r w:rsidR="00E66A1A" w:rsidRPr="00EA0CA9">
        <w:rPr>
          <w:sz w:val="22"/>
          <w:szCs w:val="22"/>
        </w:rPr>
        <w:t xml:space="preserve">experiences of </w:t>
      </w:r>
      <w:r w:rsidR="00BB3B5B" w:rsidRPr="00EA0CA9">
        <w:rPr>
          <w:sz w:val="22"/>
          <w:szCs w:val="22"/>
        </w:rPr>
        <w:t>reading</w:t>
      </w:r>
      <w:r w:rsidR="00E66A1A" w:rsidRPr="00EA0CA9">
        <w:rPr>
          <w:sz w:val="22"/>
          <w:szCs w:val="22"/>
        </w:rPr>
        <w:t xml:space="preserve">, as well as those of writers, to determine the ways in which reading influences what and how </w:t>
      </w:r>
      <w:r w:rsidR="00671DD1">
        <w:rPr>
          <w:sz w:val="22"/>
          <w:szCs w:val="22"/>
        </w:rPr>
        <w:t>we</w:t>
      </w:r>
      <w:r w:rsidR="00E66A1A" w:rsidRPr="00EA0CA9">
        <w:rPr>
          <w:sz w:val="22"/>
          <w:szCs w:val="22"/>
        </w:rPr>
        <w:t xml:space="preserve"> write. Students have read a variety of types of texts and have interacted with the details of </w:t>
      </w:r>
      <w:r w:rsidR="00671DD1">
        <w:rPr>
          <w:sz w:val="22"/>
          <w:szCs w:val="22"/>
        </w:rPr>
        <w:t xml:space="preserve">these </w:t>
      </w:r>
      <w:r w:rsidR="00E66A1A" w:rsidRPr="00EA0CA9">
        <w:rPr>
          <w:sz w:val="22"/>
          <w:szCs w:val="22"/>
        </w:rPr>
        <w:t xml:space="preserve">texts in order to develop their own </w:t>
      </w:r>
      <w:r w:rsidR="00E66A1A" w:rsidRPr="004D5942">
        <w:rPr>
          <w:sz w:val="22"/>
          <w:szCs w:val="22"/>
        </w:rPr>
        <w:t>critical and creative</w:t>
      </w:r>
      <w:r w:rsidR="00E66A1A" w:rsidRPr="00EA0CA9">
        <w:rPr>
          <w:sz w:val="22"/>
          <w:szCs w:val="22"/>
        </w:rPr>
        <w:t xml:space="preserve"> compositions. In doing so, s</w:t>
      </w:r>
      <w:r w:rsidR="00BB3B5B" w:rsidRPr="00EA0CA9">
        <w:rPr>
          <w:sz w:val="22"/>
          <w:szCs w:val="22"/>
        </w:rPr>
        <w:t xml:space="preserve">tudents have developed fundamental skills for, and understanding of concepts related to, the study of </w:t>
      </w:r>
      <w:r w:rsidR="00671DD1">
        <w:rPr>
          <w:sz w:val="22"/>
          <w:szCs w:val="22"/>
        </w:rPr>
        <w:t xml:space="preserve">the English Advanced </w:t>
      </w:r>
      <w:r w:rsidR="004D5942">
        <w:rPr>
          <w:sz w:val="22"/>
          <w:szCs w:val="22"/>
        </w:rPr>
        <w:t xml:space="preserve">Stage 6 </w:t>
      </w:r>
      <w:r w:rsidR="00671DD1">
        <w:rPr>
          <w:sz w:val="22"/>
          <w:szCs w:val="22"/>
        </w:rPr>
        <w:t>course. This task requires students to synthesis</w:t>
      </w:r>
      <w:r w:rsidR="004D5942">
        <w:rPr>
          <w:sz w:val="22"/>
          <w:szCs w:val="22"/>
        </w:rPr>
        <w:t>e</w:t>
      </w:r>
      <w:r w:rsidR="00671DD1">
        <w:rPr>
          <w:sz w:val="22"/>
          <w:szCs w:val="22"/>
        </w:rPr>
        <w:t xml:space="preserve"> their learning in order to communicate their personal experience and understanding of the relationship between reading and writing.</w:t>
      </w:r>
    </w:p>
    <w:tbl>
      <w:tblPr>
        <w:tblStyle w:val="a"/>
        <w:tblW w:w="10466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Assessment task details"/>
        <w:tblDescription w:val="This table outlines the outcomes assessed, nature of the assessment task, the marking criteria and a description of the feedback provided."/>
      </w:tblPr>
      <w:tblGrid>
        <w:gridCol w:w="3488"/>
        <w:gridCol w:w="3489"/>
        <w:gridCol w:w="3489"/>
      </w:tblGrid>
      <w:tr w:rsidR="00345FAE" w:rsidTr="002C464E">
        <w:trPr>
          <w:tblHeader/>
        </w:trPr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5FAE" w:rsidRDefault="00A302D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Task number:</w:t>
            </w: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5FAE" w:rsidRDefault="00A302D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Weighting:</w:t>
            </w:r>
            <w:r w:rsidR="00671DD1">
              <w:rPr>
                <w:b/>
                <w:sz w:val="22"/>
                <w:szCs w:val="22"/>
              </w:rPr>
              <w:t xml:space="preserve"> </w:t>
            </w:r>
            <w:r w:rsidR="00671DD1">
              <w:rPr>
                <w:sz w:val="22"/>
                <w:szCs w:val="22"/>
              </w:rPr>
              <w:t>30%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5FAE" w:rsidRDefault="00A302D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Timing:</w:t>
            </w:r>
            <w:r>
              <w:rPr>
                <w:sz w:val="22"/>
                <w:szCs w:val="22"/>
              </w:rPr>
              <w:t xml:space="preserve"> Term 1</w:t>
            </w:r>
          </w:p>
        </w:tc>
      </w:tr>
      <w:tr w:rsidR="00345FAE"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5FAE" w:rsidRDefault="00A302D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Outcomes assessed</w:t>
            </w:r>
          </w:p>
          <w:p w:rsidR="00345FAE" w:rsidRDefault="00A302D8">
            <w:pPr>
              <w:ind w:right="17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white"/>
              </w:rPr>
              <w:t xml:space="preserve">EA11-1 </w:t>
            </w:r>
            <w:r>
              <w:rPr>
                <w:sz w:val="22"/>
                <w:szCs w:val="22"/>
              </w:rPr>
              <w:t>responds to, composes and evaluates complex texts for understanding, interpretation, critical analysis, imaginative expression and pleasure</w:t>
            </w:r>
          </w:p>
          <w:p w:rsidR="00345FAE" w:rsidRDefault="00A302D8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EA11-3 </w:t>
            </w:r>
            <w:r w:rsidRPr="007F3F66">
              <w:rPr>
                <w:sz w:val="22"/>
                <w:szCs w:val="22"/>
              </w:rPr>
              <w:t>analyses and uses language forms, features and structures of texts considering appropriateness for specific purposes, audiences and contexts and evaluates their effects on meaning</w:t>
            </w:r>
            <w:r>
              <w:rPr>
                <w:sz w:val="20"/>
                <w:szCs w:val="20"/>
              </w:rPr>
              <w:t xml:space="preserve"> </w:t>
            </w:r>
          </w:p>
          <w:p w:rsidR="00345FAE" w:rsidRDefault="00A302D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EA11-5 </w:t>
            </w:r>
            <w:r>
              <w:rPr>
                <w:sz w:val="22"/>
                <w:szCs w:val="22"/>
              </w:rPr>
              <w:t>thinks imaginatively, creatively, interpretively and critically to respond to, evaluate and compose texts that synthesise complex information, ideas and arguments</w:t>
            </w:r>
          </w:p>
          <w:p w:rsidR="00345FAE" w:rsidRDefault="00A302D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EA11-6 </w:t>
            </w:r>
            <w:r>
              <w:rPr>
                <w:sz w:val="22"/>
                <w:szCs w:val="22"/>
              </w:rPr>
              <w:t xml:space="preserve">investigates and evaluates the relationships between texts </w:t>
            </w:r>
          </w:p>
          <w:p w:rsidR="00345FAE" w:rsidRDefault="00A302D8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EA11-7 </w:t>
            </w:r>
            <w:r>
              <w:rPr>
                <w:sz w:val="22"/>
                <w:szCs w:val="22"/>
              </w:rPr>
              <w:t>evaluates the diverse ways texts can represent personal and public worlds and recognises how they are valued</w:t>
            </w:r>
          </w:p>
          <w:p w:rsidR="00345FAE" w:rsidRDefault="00A302D8">
            <w:pPr>
              <w:ind w:right="17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EA11-9</w:t>
            </w:r>
            <w:r>
              <w:rPr>
                <w:sz w:val="22"/>
                <w:szCs w:val="22"/>
              </w:rPr>
              <w:t xml:space="preserve"> reflects on, evaluates and monitors own learning and adjusts individual and collaborative processes to develop as an independent learner</w:t>
            </w:r>
          </w:p>
        </w:tc>
      </w:tr>
      <w:tr w:rsidR="00345FAE"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5FAE" w:rsidRDefault="00A302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Nature of the task</w:t>
            </w:r>
          </w:p>
          <w:p w:rsidR="00343EA0" w:rsidRDefault="00343EA0" w:rsidP="001A0935">
            <w:pPr>
              <w:ind w:righ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Select one of the quotes below to consider in light of your exploration of this module.</w:t>
            </w:r>
          </w:p>
          <w:p w:rsidR="00343EA0" w:rsidRPr="001A0935" w:rsidRDefault="00343EA0" w:rsidP="001A0935">
            <w:pPr>
              <w:pStyle w:val="ListParagraph"/>
              <w:numPr>
                <w:ilvl w:val="0"/>
                <w:numId w:val="7"/>
              </w:numPr>
              <w:ind w:right="176"/>
              <w:rPr>
                <w:sz w:val="22"/>
                <w:szCs w:val="22"/>
              </w:rPr>
            </w:pPr>
            <w:r w:rsidRPr="001A0935">
              <w:rPr>
                <w:sz w:val="22"/>
                <w:szCs w:val="22"/>
              </w:rPr>
              <w:t>‘To choose t</w:t>
            </w:r>
            <w:r w:rsidR="00E97B3B">
              <w:rPr>
                <w:sz w:val="22"/>
                <w:szCs w:val="22"/>
              </w:rPr>
              <w:t xml:space="preserve">o write is to reject silence.’ </w:t>
            </w:r>
            <w:r w:rsidRPr="001A0935">
              <w:rPr>
                <w:sz w:val="22"/>
                <w:szCs w:val="22"/>
              </w:rPr>
              <w:t xml:space="preserve"> </w:t>
            </w:r>
            <w:r w:rsidR="001A0935" w:rsidRPr="001A0935">
              <w:rPr>
                <w:sz w:val="22"/>
                <w:szCs w:val="22"/>
              </w:rPr>
              <w:t>Chi</w:t>
            </w:r>
            <w:r w:rsidR="00E97B3B">
              <w:rPr>
                <w:sz w:val="22"/>
                <w:szCs w:val="22"/>
              </w:rPr>
              <w:t>m</w:t>
            </w:r>
            <w:r w:rsidR="001A0935" w:rsidRPr="001A0935">
              <w:rPr>
                <w:sz w:val="22"/>
                <w:szCs w:val="22"/>
              </w:rPr>
              <w:t xml:space="preserve">amanda Ngozi </w:t>
            </w:r>
            <w:r w:rsidRPr="001A0935">
              <w:rPr>
                <w:sz w:val="22"/>
                <w:szCs w:val="22"/>
              </w:rPr>
              <w:t>Adichie</w:t>
            </w:r>
          </w:p>
          <w:p w:rsidR="00343EA0" w:rsidRPr="001A0935" w:rsidRDefault="00343EA0" w:rsidP="001A0935">
            <w:pPr>
              <w:pStyle w:val="ListParagraph"/>
              <w:numPr>
                <w:ilvl w:val="0"/>
                <w:numId w:val="7"/>
              </w:numPr>
              <w:ind w:right="176"/>
              <w:rPr>
                <w:sz w:val="22"/>
                <w:szCs w:val="22"/>
              </w:rPr>
            </w:pPr>
            <w:r w:rsidRPr="001A0935">
              <w:rPr>
                <w:sz w:val="22"/>
                <w:szCs w:val="22"/>
              </w:rPr>
              <w:t>‘I believe that writing is derivative. I think good writing comes from good reading.</w:t>
            </w:r>
            <w:r w:rsidR="001A0935" w:rsidRPr="001A0935">
              <w:rPr>
                <w:sz w:val="22"/>
                <w:szCs w:val="22"/>
              </w:rPr>
              <w:t>’</w:t>
            </w:r>
            <w:r w:rsidR="00E97B3B">
              <w:rPr>
                <w:sz w:val="22"/>
                <w:szCs w:val="22"/>
              </w:rPr>
              <w:t xml:space="preserve"> </w:t>
            </w:r>
            <w:r w:rsidRPr="001A0935">
              <w:rPr>
                <w:sz w:val="22"/>
                <w:szCs w:val="22"/>
              </w:rPr>
              <w:t xml:space="preserve"> Charles Kuralt</w:t>
            </w:r>
          </w:p>
          <w:p w:rsidR="00343EA0" w:rsidRPr="001A0935" w:rsidRDefault="00343EA0" w:rsidP="001A0935">
            <w:pPr>
              <w:pStyle w:val="ListParagraph"/>
              <w:numPr>
                <w:ilvl w:val="0"/>
                <w:numId w:val="7"/>
              </w:numPr>
              <w:ind w:right="176"/>
              <w:rPr>
                <w:sz w:val="22"/>
                <w:szCs w:val="22"/>
              </w:rPr>
            </w:pPr>
            <w:r w:rsidRPr="001A0935">
              <w:rPr>
                <w:sz w:val="22"/>
                <w:szCs w:val="22"/>
              </w:rPr>
              <w:t>‘The greatest part of a writer’s time is spent in reading, in order to write: a man will turn over hal</w:t>
            </w:r>
            <w:r w:rsidR="00E97B3B">
              <w:rPr>
                <w:sz w:val="22"/>
                <w:szCs w:val="22"/>
              </w:rPr>
              <w:t xml:space="preserve">f a library to make one book.’ </w:t>
            </w:r>
            <w:r w:rsidRPr="001A0935">
              <w:rPr>
                <w:sz w:val="22"/>
                <w:szCs w:val="22"/>
              </w:rPr>
              <w:t xml:space="preserve"> Samuel Johnson</w:t>
            </w:r>
          </w:p>
          <w:p w:rsidR="001A0935" w:rsidRDefault="001A0935">
            <w:pPr>
              <w:ind w:right="176"/>
              <w:rPr>
                <w:sz w:val="22"/>
                <w:szCs w:val="22"/>
              </w:rPr>
            </w:pPr>
          </w:p>
          <w:p w:rsidR="00345FAE" w:rsidRDefault="00343EA0">
            <w:pPr>
              <w:ind w:righ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Using your selected quote as a base, </w:t>
            </w:r>
            <w:r w:rsidR="00A302D8">
              <w:rPr>
                <w:sz w:val="22"/>
                <w:szCs w:val="22"/>
              </w:rPr>
              <w:t>compose a personal response in which you explore the experience of, and relationship between, reading and writing texts in this unit. In your response, you must comment on:</w:t>
            </w:r>
          </w:p>
          <w:p w:rsidR="00345FAE" w:rsidRDefault="00A302D8">
            <w:pPr>
              <w:numPr>
                <w:ilvl w:val="0"/>
                <w:numId w:val="3"/>
              </w:numPr>
              <w:ind w:right="17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one text selected from the class compilation </w:t>
            </w:r>
            <w:r>
              <w:rPr>
                <w:i/>
                <w:sz w:val="22"/>
                <w:szCs w:val="22"/>
              </w:rPr>
              <w:t>The Book That Shaped Me</w:t>
            </w:r>
          </w:p>
          <w:p w:rsidR="00345FAE" w:rsidRDefault="00A302D8">
            <w:pPr>
              <w:numPr>
                <w:ilvl w:val="0"/>
                <w:numId w:val="3"/>
              </w:numPr>
              <w:ind w:right="17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 text from your own wide reading</w:t>
            </w:r>
          </w:p>
          <w:p w:rsidR="00345FAE" w:rsidRDefault="00A302D8">
            <w:pPr>
              <w:numPr>
                <w:ilvl w:val="0"/>
                <w:numId w:val="3"/>
              </w:numPr>
              <w:ind w:right="17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 text studied in class as part of this unit.</w:t>
            </w:r>
          </w:p>
          <w:p w:rsidR="007F3F66" w:rsidRDefault="007F3F66">
            <w:pPr>
              <w:ind w:right="176"/>
              <w:rPr>
                <w:sz w:val="22"/>
                <w:szCs w:val="22"/>
              </w:rPr>
            </w:pPr>
          </w:p>
          <w:p w:rsidR="00345FAE" w:rsidRDefault="00A302D8">
            <w:pPr>
              <w:ind w:righ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Your personal response </w:t>
            </w:r>
            <w:r w:rsidR="001A0935">
              <w:rPr>
                <w:sz w:val="22"/>
                <w:szCs w:val="22"/>
              </w:rPr>
              <w:t>may</w:t>
            </w:r>
            <w:r>
              <w:rPr>
                <w:sz w:val="22"/>
                <w:szCs w:val="22"/>
              </w:rPr>
              <w:t xml:space="preserve"> take the form of:</w:t>
            </w:r>
          </w:p>
          <w:p w:rsidR="00345FAE" w:rsidRDefault="00A302D8">
            <w:pPr>
              <w:numPr>
                <w:ilvl w:val="0"/>
                <w:numId w:val="1"/>
              </w:numPr>
              <w:ind w:right="17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personal essay</w:t>
            </w:r>
          </w:p>
          <w:p w:rsidR="00345FAE" w:rsidRDefault="00706CFA">
            <w:pPr>
              <w:numPr>
                <w:ilvl w:val="0"/>
                <w:numId w:val="1"/>
              </w:numPr>
              <w:ind w:right="17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="00A302D8">
              <w:rPr>
                <w:sz w:val="22"/>
                <w:szCs w:val="22"/>
              </w:rPr>
              <w:t>vlog (video log)</w:t>
            </w:r>
          </w:p>
          <w:p w:rsidR="00345FAE" w:rsidRDefault="00A947D8">
            <w:pPr>
              <w:numPr>
                <w:ilvl w:val="0"/>
                <w:numId w:val="1"/>
              </w:numPr>
              <w:ind w:right="17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="00A302D8">
              <w:rPr>
                <w:sz w:val="22"/>
                <w:szCs w:val="22"/>
              </w:rPr>
              <w:t>letter to the teacher</w:t>
            </w:r>
          </w:p>
          <w:p w:rsidR="004954C1" w:rsidRPr="001A0935" w:rsidRDefault="00A302D8" w:rsidP="00E66A1A">
            <w:pPr>
              <w:numPr>
                <w:ilvl w:val="0"/>
                <w:numId w:val="1"/>
              </w:numPr>
              <w:ind w:right="17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series of blog entries.</w:t>
            </w:r>
          </w:p>
        </w:tc>
      </w:tr>
      <w:tr w:rsidR="00345FAE"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5FAE" w:rsidRDefault="00A302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Marking criteria</w:t>
            </w:r>
          </w:p>
          <w:p w:rsidR="00345FAE" w:rsidRDefault="00A30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 will be assessed on how well you:</w:t>
            </w:r>
          </w:p>
          <w:p w:rsidR="007F3F66" w:rsidRDefault="007F3F66" w:rsidP="007F3F6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address the quote in relation to your </w:t>
            </w:r>
            <w:r w:rsidR="00EA0CA9">
              <w:rPr>
                <w:sz w:val="22"/>
                <w:szCs w:val="22"/>
              </w:rPr>
              <w:t>experiences of reading and writing</w:t>
            </w:r>
          </w:p>
          <w:p w:rsidR="00652B57" w:rsidRDefault="00E66A1A" w:rsidP="007F3F6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 and justify</w:t>
            </w:r>
            <w:r w:rsidR="00652B57">
              <w:rPr>
                <w:sz w:val="22"/>
                <w:szCs w:val="22"/>
              </w:rPr>
              <w:t xml:space="preserve"> ideas through close reference to the required texts</w:t>
            </w:r>
          </w:p>
          <w:p w:rsidR="00652B57" w:rsidRDefault="00E66A1A" w:rsidP="007F3F6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communicate </w:t>
            </w:r>
            <w:r w:rsidR="00671DD1">
              <w:rPr>
                <w:sz w:val="22"/>
                <w:szCs w:val="22"/>
              </w:rPr>
              <w:t xml:space="preserve">your </w:t>
            </w:r>
            <w:r>
              <w:rPr>
                <w:sz w:val="22"/>
                <w:szCs w:val="22"/>
              </w:rPr>
              <w:t>understanding using appropriate language forms and features.</w:t>
            </w:r>
          </w:p>
          <w:p w:rsidR="00345FAE" w:rsidRDefault="00345FAE" w:rsidP="00E66A1A">
            <w:pPr>
              <w:rPr>
                <w:sz w:val="22"/>
                <w:szCs w:val="22"/>
              </w:rPr>
            </w:pPr>
          </w:p>
        </w:tc>
      </w:tr>
      <w:tr w:rsidR="00345FAE"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5FAE" w:rsidRDefault="004E16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Feedback provided</w:t>
            </w:r>
          </w:p>
          <w:p w:rsidR="00345FAE" w:rsidRDefault="00EA0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Individual feedback will </w:t>
            </w:r>
            <w:r w:rsidR="00671DD1">
              <w:rPr>
                <w:sz w:val="22"/>
                <w:szCs w:val="22"/>
              </w:rPr>
              <w:t xml:space="preserve">be </w:t>
            </w:r>
            <w:r>
              <w:rPr>
                <w:sz w:val="22"/>
                <w:szCs w:val="22"/>
              </w:rPr>
              <w:t>provided to students through comments on the marking sheet. The teacher will also provide feedback to the class in relation to</w:t>
            </w:r>
            <w:r w:rsidR="00671DD1">
              <w:rPr>
                <w:sz w:val="22"/>
                <w:szCs w:val="22"/>
              </w:rPr>
              <w:t xml:space="preserve"> the</w:t>
            </w:r>
            <w:r>
              <w:rPr>
                <w:sz w:val="22"/>
                <w:szCs w:val="22"/>
              </w:rPr>
              <w:t xml:space="preserve"> strengths and weakness</w:t>
            </w:r>
            <w:r w:rsidR="00B224B7">
              <w:rPr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 xml:space="preserve"> </w:t>
            </w:r>
            <w:r w:rsidR="00671DD1">
              <w:rPr>
                <w:sz w:val="22"/>
                <w:szCs w:val="22"/>
              </w:rPr>
              <w:t xml:space="preserve">of the class </w:t>
            </w:r>
            <w:r>
              <w:rPr>
                <w:sz w:val="22"/>
                <w:szCs w:val="22"/>
              </w:rPr>
              <w:t xml:space="preserve">group. These comments will </w:t>
            </w:r>
            <w:r w:rsidR="00671DD1">
              <w:rPr>
                <w:sz w:val="22"/>
                <w:szCs w:val="22"/>
              </w:rPr>
              <w:t>be used t</w:t>
            </w:r>
            <w:r>
              <w:rPr>
                <w:sz w:val="22"/>
                <w:szCs w:val="22"/>
              </w:rPr>
              <w:t>o inform future teaching and learning.</w:t>
            </w:r>
          </w:p>
          <w:p w:rsidR="00345FAE" w:rsidRDefault="00345FAE">
            <w:pPr>
              <w:rPr>
                <w:sz w:val="22"/>
                <w:szCs w:val="22"/>
              </w:rPr>
            </w:pPr>
          </w:p>
        </w:tc>
      </w:tr>
    </w:tbl>
    <w:p w:rsidR="001A0935" w:rsidRDefault="001A0935">
      <w:pPr>
        <w:jc w:val="center"/>
        <w:rPr>
          <w:b/>
          <w:sz w:val="22"/>
          <w:szCs w:val="22"/>
        </w:rPr>
      </w:pPr>
    </w:p>
    <w:p w:rsidR="00345FAE" w:rsidRPr="00E66A1A" w:rsidRDefault="00A302D8" w:rsidP="00895123">
      <w:pPr>
        <w:jc w:val="center"/>
        <w:rPr>
          <w:b/>
          <w:sz w:val="22"/>
          <w:szCs w:val="22"/>
        </w:rPr>
      </w:pPr>
      <w:r w:rsidRPr="00E66A1A">
        <w:rPr>
          <w:b/>
          <w:sz w:val="22"/>
          <w:szCs w:val="22"/>
        </w:rPr>
        <w:lastRenderedPageBreak/>
        <w:t>Marking guidelines</w:t>
      </w:r>
    </w:p>
    <w:tbl>
      <w:tblPr>
        <w:tblStyle w:val="a0"/>
        <w:tblW w:w="104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Marking guidelines"/>
        <w:tblDescription w:val="A table that outlines the descriptors for achievement levels for this assessment task."/>
      </w:tblPr>
      <w:tblGrid>
        <w:gridCol w:w="8475"/>
        <w:gridCol w:w="1965"/>
      </w:tblGrid>
      <w:tr w:rsidR="00345FAE" w:rsidRPr="00E66A1A" w:rsidTr="002C464E">
        <w:trPr>
          <w:trHeight w:val="235"/>
          <w:tblHeader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FAE" w:rsidRPr="00E66A1A" w:rsidRDefault="00EA0CA9" w:rsidP="00895123">
            <w:pPr>
              <w:widowControl w:val="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student: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FAE" w:rsidRPr="00E66A1A" w:rsidRDefault="00A302D8" w:rsidP="00895123">
            <w:pPr>
              <w:widowControl w:val="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66A1A">
              <w:rPr>
                <w:b/>
                <w:sz w:val="22"/>
                <w:szCs w:val="22"/>
              </w:rPr>
              <w:t>Mark range</w:t>
            </w:r>
          </w:p>
        </w:tc>
      </w:tr>
      <w:tr w:rsidR="00345FAE" w:rsidRPr="00E66A1A"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6A1A" w:rsidRPr="00E66A1A" w:rsidRDefault="00EA0CA9" w:rsidP="004A0A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express</w:t>
            </w:r>
            <w:r w:rsidR="00671DD1">
              <w:rPr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 xml:space="preserve"> a highly developed</w:t>
            </w:r>
            <w:r w:rsidR="00E66A1A" w:rsidRPr="00E66A1A">
              <w:rPr>
                <w:sz w:val="22"/>
                <w:szCs w:val="22"/>
              </w:rPr>
              <w:t xml:space="preserve"> understanding of the relationship between reading and writing</w:t>
            </w:r>
            <w:r>
              <w:rPr>
                <w:sz w:val="22"/>
                <w:szCs w:val="22"/>
              </w:rPr>
              <w:t xml:space="preserve"> based on personal experiences</w:t>
            </w:r>
          </w:p>
          <w:p w:rsidR="00345FAE" w:rsidRDefault="00EA0CA9" w:rsidP="004A0A9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demonstrates a highly developed</w:t>
            </w:r>
            <w:r w:rsidR="00E66A1A" w:rsidRPr="00E66A1A">
              <w:rPr>
                <w:sz w:val="22"/>
                <w:szCs w:val="22"/>
              </w:rPr>
              <w:t xml:space="preserve"> ability to use textual details to explain and justify ideas</w:t>
            </w:r>
          </w:p>
          <w:p w:rsidR="00E66A1A" w:rsidRPr="00E66A1A" w:rsidRDefault="00EA0CA9" w:rsidP="004A0A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displays highly effective use of language and form appropriate to audience, context and purpose</w:t>
            </w:r>
            <w:r w:rsidR="000D0B64">
              <w:rPr>
                <w:sz w:val="22"/>
                <w:szCs w:val="22"/>
              </w:rPr>
              <w:t>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FAE" w:rsidRPr="00E66A1A" w:rsidRDefault="00A302D8" w:rsidP="00671D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E66A1A">
              <w:rPr>
                <w:sz w:val="22"/>
                <w:szCs w:val="22"/>
              </w:rPr>
              <w:t>17</w:t>
            </w:r>
            <w:r w:rsidR="00671DD1">
              <w:rPr>
                <w:sz w:val="22"/>
                <w:szCs w:val="22"/>
              </w:rPr>
              <w:t>–</w:t>
            </w:r>
            <w:r w:rsidRPr="00E66A1A">
              <w:rPr>
                <w:sz w:val="22"/>
                <w:szCs w:val="22"/>
              </w:rPr>
              <w:t>20</w:t>
            </w:r>
          </w:p>
        </w:tc>
      </w:tr>
      <w:tr w:rsidR="00345FAE" w:rsidRPr="00E66A1A"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A9" w:rsidRPr="00E66A1A" w:rsidRDefault="00EA0CA9" w:rsidP="004A0A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express</w:t>
            </w:r>
            <w:r w:rsidR="00671DD1">
              <w:rPr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 xml:space="preserve"> a well-developed</w:t>
            </w:r>
            <w:r w:rsidRPr="00E66A1A">
              <w:rPr>
                <w:sz w:val="22"/>
                <w:szCs w:val="22"/>
              </w:rPr>
              <w:t xml:space="preserve"> understanding of the relationship between reading and writing</w:t>
            </w:r>
            <w:r>
              <w:rPr>
                <w:sz w:val="22"/>
                <w:szCs w:val="22"/>
              </w:rPr>
              <w:t xml:space="preserve"> based on personal experiences</w:t>
            </w:r>
          </w:p>
          <w:p w:rsidR="00EA0CA9" w:rsidRDefault="00EA0CA9" w:rsidP="004A0A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demonstrates a well-developed </w:t>
            </w:r>
            <w:r w:rsidR="001A0935">
              <w:rPr>
                <w:sz w:val="22"/>
                <w:szCs w:val="22"/>
              </w:rPr>
              <w:t>ability to use textual details</w:t>
            </w:r>
            <w:r w:rsidRPr="00E66A1A">
              <w:rPr>
                <w:sz w:val="22"/>
                <w:szCs w:val="22"/>
              </w:rPr>
              <w:t xml:space="preserve"> to explain and justify ideas</w:t>
            </w:r>
          </w:p>
          <w:p w:rsidR="00345FAE" w:rsidRPr="004A0A97" w:rsidRDefault="00EA0CA9" w:rsidP="004A0A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displays</w:t>
            </w:r>
            <w:r w:rsidRPr="00EA0CA9">
              <w:rPr>
                <w:sz w:val="22"/>
                <w:szCs w:val="22"/>
              </w:rPr>
              <w:t xml:space="preserve"> effective use of language and form appropriate to audience, context and purpose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FAE" w:rsidRPr="00E66A1A" w:rsidRDefault="00671D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13–</w:t>
            </w:r>
            <w:r w:rsidR="00A302D8" w:rsidRPr="00E66A1A">
              <w:rPr>
                <w:sz w:val="22"/>
                <w:szCs w:val="22"/>
              </w:rPr>
              <w:t>16</w:t>
            </w:r>
          </w:p>
        </w:tc>
      </w:tr>
      <w:tr w:rsidR="00345FAE" w:rsidRPr="00E66A1A"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A9" w:rsidRPr="00E66A1A" w:rsidRDefault="00EA0CA9" w:rsidP="004A0A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express</w:t>
            </w:r>
            <w:r w:rsidR="00671DD1">
              <w:rPr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 xml:space="preserve"> a sound</w:t>
            </w:r>
            <w:r w:rsidRPr="00E66A1A">
              <w:rPr>
                <w:sz w:val="22"/>
                <w:szCs w:val="22"/>
              </w:rPr>
              <w:t xml:space="preserve"> understanding of the relationship between reading and writing</w:t>
            </w:r>
            <w:r>
              <w:rPr>
                <w:sz w:val="22"/>
                <w:szCs w:val="22"/>
              </w:rPr>
              <w:t xml:space="preserve"> based on personal experiences</w:t>
            </w:r>
          </w:p>
          <w:p w:rsidR="00EA0CA9" w:rsidRDefault="00EA0CA9" w:rsidP="004A0A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demonstrates a satisfactory </w:t>
            </w:r>
            <w:r w:rsidRPr="00E66A1A">
              <w:rPr>
                <w:sz w:val="22"/>
                <w:szCs w:val="22"/>
              </w:rPr>
              <w:t>ability to use textual details to explain and justify ideas</w:t>
            </w:r>
          </w:p>
          <w:p w:rsidR="00345FAE" w:rsidRPr="004A0A97" w:rsidRDefault="00EA0CA9" w:rsidP="004A0A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displays</w:t>
            </w:r>
            <w:r w:rsidRPr="00EA0C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sound</w:t>
            </w:r>
            <w:r w:rsidRPr="00EA0CA9">
              <w:rPr>
                <w:sz w:val="22"/>
                <w:szCs w:val="22"/>
              </w:rPr>
              <w:t xml:space="preserve"> use of language and form </w:t>
            </w:r>
            <w:r>
              <w:rPr>
                <w:sz w:val="22"/>
                <w:szCs w:val="22"/>
              </w:rPr>
              <w:t xml:space="preserve">mostly </w:t>
            </w:r>
            <w:r w:rsidRPr="00EA0CA9">
              <w:rPr>
                <w:sz w:val="22"/>
                <w:szCs w:val="22"/>
              </w:rPr>
              <w:t>appropriate to audience, context and purpose.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FAE" w:rsidRPr="00E66A1A" w:rsidRDefault="00671D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9–</w:t>
            </w:r>
            <w:r w:rsidR="00A302D8" w:rsidRPr="00E66A1A">
              <w:rPr>
                <w:sz w:val="22"/>
                <w:szCs w:val="22"/>
              </w:rPr>
              <w:t>12</w:t>
            </w:r>
          </w:p>
        </w:tc>
      </w:tr>
      <w:tr w:rsidR="00345FAE" w:rsidRPr="00E66A1A" w:rsidTr="00895123">
        <w:trPr>
          <w:trHeight w:val="1366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A9" w:rsidRPr="00E66A1A" w:rsidRDefault="00EA0CA9" w:rsidP="004A0A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express</w:t>
            </w:r>
            <w:r w:rsidR="00671DD1">
              <w:rPr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 xml:space="preserve"> a developing</w:t>
            </w:r>
            <w:r w:rsidRPr="00E66A1A">
              <w:rPr>
                <w:sz w:val="22"/>
                <w:szCs w:val="22"/>
              </w:rPr>
              <w:t xml:space="preserve"> understanding of the relationship between reading and writing</w:t>
            </w:r>
            <w:r>
              <w:rPr>
                <w:sz w:val="22"/>
                <w:szCs w:val="22"/>
              </w:rPr>
              <w:t xml:space="preserve"> based on personal experiences</w:t>
            </w:r>
          </w:p>
          <w:p w:rsidR="00EA0CA9" w:rsidRDefault="00EA0CA9" w:rsidP="004A0A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demonstrates a basic </w:t>
            </w:r>
            <w:r w:rsidRPr="00E66A1A">
              <w:rPr>
                <w:sz w:val="22"/>
                <w:szCs w:val="22"/>
              </w:rPr>
              <w:t>ability to use textual details to explain and justify ideas</w:t>
            </w:r>
          </w:p>
          <w:p w:rsidR="00345FAE" w:rsidRPr="004A0A97" w:rsidRDefault="00EA0CA9" w:rsidP="00A947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displays</w:t>
            </w:r>
            <w:r w:rsidRPr="00EA0CA9">
              <w:rPr>
                <w:sz w:val="22"/>
                <w:szCs w:val="22"/>
              </w:rPr>
              <w:t xml:space="preserve"> </w:t>
            </w:r>
            <w:r w:rsidR="00A947D8">
              <w:rPr>
                <w:sz w:val="22"/>
                <w:szCs w:val="22"/>
              </w:rPr>
              <w:t>basic</w:t>
            </w:r>
            <w:r w:rsidRPr="00EA0CA9">
              <w:rPr>
                <w:sz w:val="22"/>
                <w:szCs w:val="22"/>
              </w:rPr>
              <w:t xml:space="preserve"> use of language and form </w:t>
            </w:r>
            <w:r>
              <w:rPr>
                <w:sz w:val="22"/>
                <w:szCs w:val="22"/>
              </w:rPr>
              <w:t xml:space="preserve">with some </w:t>
            </w:r>
            <w:r w:rsidRPr="00EA0CA9">
              <w:rPr>
                <w:sz w:val="22"/>
                <w:szCs w:val="22"/>
              </w:rPr>
              <w:t>appropriate</w:t>
            </w:r>
            <w:r>
              <w:rPr>
                <w:sz w:val="22"/>
                <w:szCs w:val="22"/>
              </w:rPr>
              <w:t>ness</w:t>
            </w:r>
            <w:r w:rsidRPr="00EA0CA9">
              <w:rPr>
                <w:sz w:val="22"/>
                <w:szCs w:val="22"/>
              </w:rPr>
              <w:t xml:space="preserve"> to audience, context and purpose.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FAE" w:rsidRPr="00E66A1A" w:rsidRDefault="00671D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5–</w:t>
            </w:r>
            <w:r w:rsidR="00A302D8" w:rsidRPr="00E66A1A">
              <w:rPr>
                <w:sz w:val="22"/>
                <w:szCs w:val="22"/>
              </w:rPr>
              <w:t>8</w:t>
            </w:r>
          </w:p>
        </w:tc>
      </w:tr>
      <w:tr w:rsidR="00345FAE" w:rsidRPr="00E66A1A"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CA9" w:rsidRPr="00E66A1A" w:rsidRDefault="00EA0CA9" w:rsidP="004A0A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attempts to express an</w:t>
            </w:r>
            <w:r w:rsidRPr="00E66A1A">
              <w:rPr>
                <w:sz w:val="22"/>
                <w:szCs w:val="22"/>
              </w:rPr>
              <w:t xml:space="preserve"> understanding of the relationship between reading and writing</w:t>
            </w:r>
            <w:r>
              <w:rPr>
                <w:sz w:val="22"/>
                <w:szCs w:val="22"/>
              </w:rPr>
              <w:t xml:space="preserve"> based on personal experiences</w:t>
            </w:r>
          </w:p>
          <w:p w:rsidR="00EA0CA9" w:rsidRDefault="00EA0CA9" w:rsidP="004A0A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demonstrates a limited </w:t>
            </w:r>
            <w:r w:rsidRPr="00E66A1A">
              <w:rPr>
                <w:sz w:val="22"/>
                <w:szCs w:val="22"/>
              </w:rPr>
              <w:t>a</w:t>
            </w:r>
            <w:r w:rsidR="001A0935">
              <w:rPr>
                <w:sz w:val="22"/>
                <w:szCs w:val="22"/>
              </w:rPr>
              <w:t>bility to use textual details</w:t>
            </w:r>
            <w:r w:rsidRPr="00E66A1A">
              <w:rPr>
                <w:sz w:val="22"/>
                <w:szCs w:val="22"/>
              </w:rPr>
              <w:t xml:space="preserve"> to explain and justify ideas</w:t>
            </w:r>
          </w:p>
          <w:p w:rsidR="00345FAE" w:rsidRPr="004A0A97" w:rsidRDefault="00EA0CA9" w:rsidP="004A0A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displays</w:t>
            </w:r>
            <w:r w:rsidRPr="00EA0C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limited</w:t>
            </w:r>
            <w:r w:rsidRPr="00EA0CA9">
              <w:rPr>
                <w:sz w:val="22"/>
                <w:szCs w:val="22"/>
              </w:rPr>
              <w:t xml:space="preserve"> use of language and form with </w:t>
            </w:r>
            <w:r>
              <w:rPr>
                <w:sz w:val="22"/>
                <w:szCs w:val="22"/>
              </w:rPr>
              <w:t>little</w:t>
            </w:r>
            <w:r w:rsidRPr="00EA0CA9">
              <w:rPr>
                <w:sz w:val="22"/>
                <w:szCs w:val="22"/>
              </w:rPr>
              <w:t xml:space="preserve"> appropriateness to audience, context and purpose</w:t>
            </w:r>
            <w:r w:rsidR="000D0B64">
              <w:rPr>
                <w:sz w:val="22"/>
                <w:szCs w:val="22"/>
              </w:rPr>
              <w:t>.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5FAE" w:rsidRPr="00E66A1A" w:rsidRDefault="00671DD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1–</w:t>
            </w:r>
            <w:r w:rsidR="00A302D8" w:rsidRPr="00E66A1A">
              <w:rPr>
                <w:sz w:val="22"/>
                <w:szCs w:val="22"/>
              </w:rPr>
              <w:t>4</w:t>
            </w:r>
          </w:p>
        </w:tc>
      </w:tr>
    </w:tbl>
    <w:p w:rsidR="00345FAE" w:rsidRDefault="00345FAE" w:rsidP="00895123">
      <w:pPr>
        <w:spacing w:after="0"/>
        <w:rPr>
          <w:b/>
          <w:sz w:val="22"/>
          <w:szCs w:val="22"/>
        </w:rPr>
      </w:pPr>
    </w:p>
    <w:p w:rsidR="000D0B64" w:rsidRPr="000D0B64" w:rsidRDefault="000D0B64" w:rsidP="00895123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Feedback:</w:t>
      </w:r>
    </w:p>
    <w:sectPr w:rsidR="000D0B64" w:rsidRPr="000D0B64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7648"/>
    <w:multiLevelType w:val="multilevel"/>
    <w:tmpl w:val="E11C81B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1F74693E"/>
    <w:multiLevelType w:val="hybridMultilevel"/>
    <w:tmpl w:val="8F80A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07938"/>
    <w:multiLevelType w:val="hybridMultilevel"/>
    <w:tmpl w:val="58ECD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17E82"/>
    <w:multiLevelType w:val="multilevel"/>
    <w:tmpl w:val="2C6A4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A0445FE"/>
    <w:multiLevelType w:val="hybridMultilevel"/>
    <w:tmpl w:val="4628C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77B32"/>
    <w:multiLevelType w:val="multilevel"/>
    <w:tmpl w:val="1E0C15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DA56F49"/>
    <w:multiLevelType w:val="hybridMultilevel"/>
    <w:tmpl w:val="3C54D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345FAE"/>
    <w:rsid w:val="000D0B64"/>
    <w:rsid w:val="000F1801"/>
    <w:rsid w:val="00174BDE"/>
    <w:rsid w:val="001A0935"/>
    <w:rsid w:val="002C464E"/>
    <w:rsid w:val="00343EA0"/>
    <w:rsid w:val="00345FAE"/>
    <w:rsid w:val="004131A6"/>
    <w:rsid w:val="004728EB"/>
    <w:rsid w:val="004954C1"/>
    <w:rsid w:val="004A0A97"/>
    <w:rsid w:val="004D5942"/>
    <w:rsid w:val="004E16BE"/>
    <w:rsid w:val="005D4CA4"/>
    <w:rsid w:val="00652B57"/>
    <w:rsid w:val="00671DD1"/>
    <w:rsid w:val="00706CFA"/>
    <w:rsid w:val="007F3F66"/>
    <w:rsid w:val="00895123"/>
    <w:rsid w:val="00A302D8"/>
    <w:rsid w:val="00A947D8"/>
    <w:rsid w:val="00B224B7"/>
    <w:rsid w:val="00BB3B5B"/>
    <w:rsid w:val="00D103D7"/>
    <w:rsid w:val="00D2110F"/>
    <w:rsid w:val="00E52779"/>
    <w:rsid w:val="00E66A1A"/>
    <w:rsid w:val="00E97B3B"/>
    <w:rsid w:val="00EA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Helvetica Neue" w:eastAsia="Helvetica Neue" w:hAnsi="Helvetica Neue" w:cs="Helvetica Neue"/>
      <w:b/>
      <w:sz w:val="32"/>
      <w:szCs w:val="32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rFonts w:ascii="Helvetica Neue" w:eastAsia="Helvetica Neue" w:hAnsi="Helvetica Neue" w:cs="Helvetica Neue"/>
      <w:sz w:val="32"/>
      <w:szCs w:val="3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F6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9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Helvetica Neue" w:eastAsia="Helvetica Neue" w:hAnsi="Helvetica Neue" w:cs="Helvetica Neue"/>
      <w:b/>
      <w:sz w:val="32"/>
      <w:szCs w:val="32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rFonts w:ascii="Helvetica Neue" w:eastAsia="Helvetica Neue" w:hAnsi="Helvetica Neue" w:cs="Helvetica Neue"/>
      <w:sz w:val="32"/>
      <w:szCs w:val="3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F6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Education Standards Authority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Education Standards Authority</dc:creator>
  <cp:lastModifiedBy>Stefanie Lia</cp:lastModifiedBy>
  <cp:revision>15</cp:revision>
  <cp:lastPrinted>2017-10-15T22:06:00Z</cp:lastPrinted>
  <dcterms:created xsi:type="dcterms:W3CDTF">2017-10-06T01:34:00Z</dcterms:created>
  <dcterms:modified xsi:type="dcterms:W3CDTF">2017-10-26T21:20:00Z</dcterms:modified>
</cp:coreProperties>
</file>