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38CF7E2E" w:rsidR="00AC0093" w:rsidRDefault="00761776" w:rsidP="00AC0093">
      <w:pPr>
        <w:pStyle w:val="Title"/>
        <w:spacing w:after="720"/>
        <w:ind w:right="34"/>
      </w:pPr>
      <w:r>
        <w:t xml:space="preserve">Mathematics </w:t>
      </w:r>
      <w:r w:rsidR="00821454">
        <w:t>Standard</w:t>
      </w:r>
      <w:r>
        <w:t xml:space="preserve"> Year 11</w:t>
      </w:r>
    </w:p>
    <w:p w14:paraId="24058B87" w14:textId="680C9421" w:rsidR="00AC0093" w:rsidRPr="00AC0093" w:rsidRDefault="005D4259" w:rsidP="00AC0093">
      <w:pPr>
        <w:pStyle w:val="Subtitle"/>
      </w:pPr>
      <w:r>
        <w:t>Financial Mathematics</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bookmarkStart w:id="0" w:name="_GoBack" w:displacedByCustomXml="prev"/>
        <w:bookmarkEnd w:id="0" w:displacedByCustomXml="prev"/>
        <w:p w14:paraId="51836F2C" w14:textId="43A3606C" w:rsidR="00C60B23" w:rsidRDefault="003C4832">
          <w:pPr>
            <w:pStyle w:val="TOC1"/>
          </w:pPr>
          <w:r>
            <w:t xml:space="preserve">Mathematics </w:t>
          </w:r>
          <w:r w:rsidR="001822A3">
            <w:t>Standard</w:t>
          </w:r>
          <w:r>
            <w:t xml:space="preserve"> </w:t>
          </w:r>
          <w:r w:rsidR="009E7342">
            <w:t xml:space="preserve">Year 11 </w:t>
          </w:r>
          <w:r w:rsidR="005D4259">
            <w:t>Financial Mathematics</w:t>
          </w:r>
          <w:r w:rsidR="001822A3">
            <w:t xml:space="preserve"> </w:t>
          </w:r>
          <w:r>
            <w:t>Topic Guidance</w:t>
          </w:r>
        </w:p>
        <w:p w14:paraId="3DE1F379" w14:textId="3A4CB95C" w:rsidR="00067927"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83469349" w:history="1">
            <w:r w:rsidR="00067927" w:rsidRPr="00F22096">
              <w:rPr>
                <w:rStyle w:val="Hyperlink"/>
              </w:rPr>
              <w:t>Topic focus</w:t>
            </w:r>
            <w:r w:rsidR="00067927">
              <w:rPr>
                <w:webHidden/>
              </w:rPr>
              <w:tab/>
            </w:r>
            <w:r w:rsidR="00067927">
              <w:rPr>
                <w:webHidden/>
              </w:rPr>
              <w:fldChar w:fldCharType="begin"/>
            </w:r>
            <w:r w:rsidR="00067927">
              <w:rPr>
                <w:webHidden/>
              </w:rPr>
              <w:instrText xml:space="preserve"> PAGEREF _Toc483469349 \h </w:instrText>
            </w:r>
            <w:r w:rsidR="00067927">
              <w:rPr>
                <w:webHidden/>
              </w:rPr>
            </w:r>
            <w:r w:rsidR="00067927">
              <w:rPr>
                <w:webHidden/>
              </w:rPr>
              <w:fldChar w:fldCharType="separate"/>
            </w:r>
            <w:r w:rsidR="00A76B9D">
              <w:rPr>
                <w:webHidden/>
              </w:rPr>
              <w:t>3</w:t>
            </w:r>
            <w:r w:rsidR="00067927">
              <w:rPr>
                <w:webHidden/>
              </w:rPr>
              <w:fldChar w:fldCharType="end"/>
            </w:r>
          </w:hyperlink>
        </w:p>
        <w:p w14:paraId="20463EE7" w14:textId="77777777" w:rsidR="00067927" w:rsidRDefault="00067927">
          <w:pPr>
            <w:pStyle w:val="TOC1"/>
            <w:rPr>
              <w:rFonts w:asciiTheme="minorHAnsi" w:eastAsiaTheme="minorEastAsia" w:hAnsiTheme="minorHAnsi" w:cstheme="minorBidi"/>
              <w:b w:val="0"/>
              <w:color w:val="auto"/>
              <w:spacing w:val="0"/>
              <w:lang w:val="en-AU" w:eastAsia="en-AU"/>
            </w:rPr>
          </w:pPr>
          <w:hyperlink w:anchor="_Toc483469350" w:history="1">
            <w:r w:rsidRPr="00F22096">
              <w:rPr>
                <w:rStyle w:val="Hyperlink"/>
              </w:rPr>
              <w:t>Prior learning</w:t>
            </w:r>
            <w:r>
              <w:rPr>
                <w:webHidden/>
              </w:rPr>
              <w:tab/>
            </w:r>
            <w:r>
              <w:rPr>
                <w:webHidden/>
              </w:rPr>
              <w:fldChar w:fldCharType="begin"/>
            </w:r>
            <w:r>
              <w:rPr>
                <w:webHidden/>
              </w:rPr>
              <w:instrText xml:space="preserve"> PAGEREF _Toc483469350 \h </w:instrText>
            </w:r>
            <w:r>
              <w:rPr>
                <w:webHidden/>
              </w:rPr>
            </w:r>
            <w:r>
              <w:rPr>
                <w:webHidden/>
              </w:rPr>
              <w:fldChar w:fldCharType="separate"/>
            </w:r>
            <w:r w:rsidR="00A76B9D">
              <w:rPr>
                <w:webHidden/>
              </w:rPr>
              <w:t>3</w:t>
            </w:r>
            <w:r>
              <w:rPr>
                <w:webHidden/>
              </w:rPr>
              <w:fldChar w:fldCharType="end"/>
            </w:r>
          </w:hyperlink>
        </w:p>
        <w:p w14:paraId="41E7E482" w14:textId="77777777" w:rsidR="00067927" w:rsidRDefault="00067927">
          <w:pPr>
            <w:pStyle w:val="TOC1"/>
            <w:rPr>
              <w:rFonts w:asciiTheme="minorHAnsi" w:eastAsiaTheme="minorEastAsia" w:hAnsiTheme="minorHAnsi" w:cstheme="minorBidi"/>
              <w:b w:val="0"/>
              <w:color w:val="auto"/>
              <w:spacing w:val="0"/>
              <w:lang w:val="en-AU" w:eastAsia="en-AU"/>
            </w:rPr>
          </w:pPr>
          <w:hyperlink w:anchor="_Toc483469351" w:history="1">
            <w:r w:rsidRPr="00F22096">
              <w:rPr>
                <w:rStyle w:val="Hyperlink"/>
              </w:rPr>
              <w:t>Terminology</w:t>
            </w:r>
            <w:r>
              <w:rPr>
                <w:webHidden/>
              </w:rPr>
              <w:tab/>
            </w:r>
            <w:r>
              <w:rPr>
                <w:webHidden/>
              </w:rPr>
              <w:fldChar w:fldCharType="begin"/>
            </w:r>
            <w:r>
              <w:rPr>
                <w:webHidden/>
              </w:rPr>
              <w:instrText xml:space="preserve"> PAGEREF _Toc483469351 \h </w:instrText>
            </w:r>
            <w:r>
              <w:rPr>
                <w:webHidden/>
              </w:rPr>
            </w:r>
            <w:r>
              <w:rPr>
                <w:webHidden/>
              </w:rPr>
              <w:fldChar w:fldCharType="separate"/>
            </w:r>
            <w:r w:rsidR="00A76B9D">
              <w:rPr>
                <w:webHidden/>
              </w:rPr>
              <w:t>3</w:t>
            </w:r>
            <w:r>
              <w:rPr>
                <w:webHidden/>
              </w:rPr>
              <w:fldChar w:fldCharType="end"/>
            </w:r>
          </w:hyperlink>
        </w:p>
        <w:p w14:paraId="783618BA" w14:textId="77777777" w:rsidR="00067927" w:rsidRDefault="00067927">
          <w:pPr>
            <w:pStyle w:val="TOC1"/>
            <w:rPr>
              <w:rFonts w:asciiTheme="minorHAnsi" w:eastAsiaTheme="minorEastAsia" w:hAnsiTheme="minorHAnsi" w:cstheme="minorBidi"/>
              <w:b w:val="0"/>
              <w:color w:val="auto"/>
              <w:spacing w:val="0"/>
              <w:lang w:val="en-AU" w:eastAsia="en-AU"/>
            </w:rPr>
          </w:pPr>
          <w:hyperlink w:anchor="_Toc483469352" w:history="1">
            <w:r w:rsidRPr="00F22096">
              <w:rPr>
                <w:rStyle w:val="Hyperlink"/>
              </w:rPr>
              <w:t>Use of technology</w:t>
            </w:r>
            <w:r>
              <w:rPr>
                <w:webHidden/>
              </w:rPr>
              <w:tab/>
            </w:r>
            <w:r>
              <w:rPr>
                <w:webHidden/>
              </w:rPr>
              <w:fldChar w:fldCharType="begin"/>
            </w:r>
            <w:r>
              <w:rPr>
                <w:webHidden/>
              </w:rPr>
              <w:instrText xml:space="preserve"> PAGEREF _Toc483469352 \h </w:instrText>
            </w:r>
            <w:r>
              <w:rPr>
                <w:webHidden/>
              </w:rPr>
            </w:r>
            <w:r>
              <w:rPr>
                <w:webHidden/>
              </w:rPr>
              <w:fldChar w:fldCharType="separate"/>
            </w:r>
            <w:r w:rsidR="00A76B9D">
              <w:rPr>
                <w:webHidden/>
              </w:rPr>
              <w:t>3</w:t>
            </w:r>
            <w:r>
              <w:rPr>
                <w:webHidden/>
              </w:rPr>
              <w:fldChar w:fldCharType="end"/>
            </w:r>
          </w:hyperlink>
        </w:p>
        <w:p w14:paraId="4E5F9F0A" w14:textId="77777777" w:rsidR="00067927" w:rsidRDefault="00067927">
          <w:pPr>
            <w:pStyle w:val="TOC1"/>
            <w:rPr>
              <w:rFonts w:asciiTheme="minorHAnsi" w:eastAsiaTheme="minorEastAsia" w:hAnsiTheme="minorHAnsi" w:cstheme="minorBidi"/>
              <w:b w:val="0"/>
              <w:color w:val="auto"/>
              <w:spacing w:val="0"/>
              <w:lang w:val="en-AU" w:eastAsia="en-AU"/>
            </w:rPr>
          </w:pPr>
          <w:hyperlink w:anchor="_Toc483469353" w:history="1">
            <w:r w:rsidRPr="00F22096">
              <w:rPr>
                <w:rStyle w:val="Hyperlink"/>
              </w:rPr>
              <w:t>Background information</w:t>
            </w:r>
            <w:r>
              <w:rPr>
                <w:webHidden/>
              </w:rPr>
              <w:tab/>
            </w:r>
            <w:r>
              <w:rPr>
                <w:webHidden/>
              </w:rPr>
              <w:fldChar w:fldCharType="begin"/>
            </w:r>
            <w:r>
              <w:rPr>
                <w:webHidden/>
              </w:rPr>
              <w:instrText xml:space="preserve"> PAGEREF _Toc483469353 \h </w:instrText>
            </w:r>
            <w:r>
              <w:rPr>
                <w:webHidden/>
              </w:rPr>
            </w:r>
            <w:r>
              <w:rPr>
                <w:webHidden/>
              </w:rPr>
              <w:fldChar w:fldCharType="separate"/>
            </w:r>
            <w:r w:rsidR="00A76B9D">
              <w:rPr>
                <w:webHidden/>
              </w:rPr>
              <w:t>4</w:t>
            </w:r>
            <w:r>
              <w:rPr>
                <w:webHidden/>
              </w:rPr>
              <w:fldChar w:fldCharType="end"/>
            </w:r>
          </w:hyperlink>
        </w:p>
        <w:p w14:paraId="45652C0F" w14:textId="77777777" w:rsidR="00067927" w:rsidRDefault="00067927">
          <w:pPr>
            <w:pStyle w:val="TOC1"/>
            <w:rPr>
              <w:rFonts w:asciiTheme="minorHAnsi" w:eastAsiaTheme="minorEastAsia" w:hAnsiTheme="minorHAnsi" w:cstheme="minorBidi"/>
              <w:b w:val="0"/>
              <w:color w:val="auto"/>
              <w:spacing w:val="0"/>
              <w:lang w:val="en-AU" w:eastAsia="en-AU"/>
            </w:rPr>
          </w:pPr>
          <w:hyperlink w:anchor="_Toc483469354" w:history="1">
            <w:r w:rsidRPr="00F22096">
              <w:rPr>
                <w:rStyle w:val="Hyperlink"/>
              </w:rPr>
              <w:t>General comments</w:t>
            </w:r>
            <w:r>
              <w:rPr>
                <w:webHidden/>
              </w:rPr>
              <w:tab/>
            </w:r>
            <w:r>
              <w:rPr>
                <w:webHidden/>
              </w:rPr>
              <w:fldChar w:fldCharType="begin"/>
            </w:r>
            <w:r>
              <w:rPr>
                <w:webHidden/>
              </w:rPr>
              <w:instrText xml:space="preserve"> PAGEREF _Toc483469354 \h </w:instrText>
            </w:r>
            <w:r>
              <w:rPr>
                <w:webHidden/>
              </w:rPr>
            </w:r>
            <w:r>
              <w:rPr>
                <w:webHidden/>
              </w:rPr>
              <w:fldChar w:fldCharType="separate"/>
            </w:r>
            <w:r w:rsidR="00A76B9D">
              <w:rPr>
                <w:webHidden/>
              </w:rPr>
              <w:t>4</w:t>
            </w:r>
            <w:r>
              <w:rPr>
                <w:webHidden/>
              </w:rPr>
              <w:fldChar w:fldCharType="end"/>
            </w:r>
          </w:hyperlink>
        </w:p>
        <w:p w14:paraId="555804BA" w14:textId="77777777" w:rsidR="00067927" w:rsidRDefault="00067927">
          <w:pPr>
            <w:pStyle w:val="TOC1"/>
            <w:rPr>
              <w:rFonts w:asciiTheme="minorHAnsi" w:eastAsiaTheme="minorEastAsia" w:hAnsiTheme="minorHAnsi" w:cstheme="minorBidi"/>
              <w:b w:val="0"/>
              <w:color w:val="auto"/>
              <w:spacing w:val="0"/>
              <w:lang w:val="en-AU" w:eastAsia="en-AU"/>
            </w:rPr>
          </w:pPr>
          <w:hyperlink w:anchor="_Toc483469355" w:history="1">
            <w:r w:rsidRPr="00F22096">
              <w:rPr>
                <w:rStyle w:val="Hyperlink"/>
              </w:rPr>
              <w:t>Future study</w:t>
            </w:r>
            <w:r>
              <w:rPr>
                <w:webHidden/>
              </w:rPr>
              <w:tab/>
            </w:r>
            <w:r>
              <w:rPr>
                <w:webHidden/>
              </w:rPr>
              <w:fldChar w:fldCharType="begin"/>
            </w:r>
            <w:r>
              <w:rPr>
                <w:webHidden/>
              </w:rPr>
              <w:instrText xml:space="preserve"> PAGEREF _Toc483469355 \h </w:instrText>
            </w:r>
            <w:r>
              <w:rPr>
                <w:webHidden/>
              </w:rPr>
            </w:r>
            <w:r>
              <w:rPr>
                <w:webHidden/>
              </w:rPr>
              <w:fldChar w:fldCharType="separate"/>
            </w:r>
            <w:r w:rsidR="00A76B9D">
              <w:rPr>
                <w:webHidden/>
              </w:rPr>
              <w:t>5</w:t>
            </w:r>
            <w:r>
              <w:rPr>
                <w:webHidden/>
              </w:rPr>
              <w:fldChar w:fldCharType="end"/>
            </w:r>
          </w:hyperlink>
        </w:p>
        <w:p w14:paraId="2CBA4623" w14:textId="77777777" w:rsidR="00067927" w:rsidRDefault="00067927">
          <w:pPr>
            <w:pStyle w:val="TOC1"/>
            <w:rPr>
              <w:rFonts w:asciiTheme="minorHAnsi" w:eastAsiaTheme="minorEastAsia" w:hAnsiTheme="minorHAnsi" w:cstheme="minorBidi"/>
              <w:b w:val="0"/>
              <w:color w:val="auto"/>
              <w:spacing w:val="0"/>
              <w:lang w:val="en-AU" w:eastAsia="en-AU"/>
            </w:rPr>
          </w:pPr>
          <w:hyperlink w:anchor="_Toc483469356" w:history="1">
            <w:r w:rsidRPr="00F22096">
              <w:rPr>
                <w:rStyle w:val="Hyperlink"/>
              </w:rPr>
              <w:t>Subtopics</w:t>
            </w:r>
            <w:r>
              <w:rPr>
                <w:webHidden/>
              </w:rPr>
              <w:tab/>
            </w:r>
            <w:r>
              <w:rPr>
                <w:webHidden/>
              </w:rPr>
              <w:fldChar w:fldCharType="begin"/>
            </w:r>
            <w:r>
              <w:rPr>
                <w:webHidden/>
              </w:rPr>
              <w:instrText xml:space="preserve"> PAGEREF _Toc483469356 \h </w:instrText>
            </w:r>
            <w:r>
              <w:rPr>
                <w:webHidden/>
              </w:rPr>
            </w:r>
            <w:r>
              <w:rPr>
                <w:webHidden/>
              </w:rPr>
              <w:fldChar w:fldCharType="separate"/>
            </w:r>
            <w:r w:rsidR="00A76B9D">
              <w:rPr>
                <w:webHidden/>
              </w:rPr>
              <w:t>5</w:t>
            </w:r>
            <w:r>
              <w:rPr>
                <w:webHidden/>
              </w:rPr>
              <w:fldChar w:fldCharType="end"/>
            </w:r>
          </w:hyperlink>
        </w:p>
        <w:p w14:paraId="01217C25" w14:textId="77777777" w:rsidR="00067927" w:rsidRDefault="00067927">
          <w:pPr>
            <w:pStyle w:val="TOC2"/>
            <w:rPr>
              <w:rFonts w:asciiTheme="minorHAnsi" w:eastAsiaTheme="minorEastAsia" w:hAnsiTheme="minorHAnsi" w:cstheme="minorBidi"/>
              <w:spacing w:val="0"/>
              <w:lang w:val="en-AU" w:eastAsia="en-AU"/>
            </w:rPr>
          </w:pPr>
          <w:hyperlink w:anchor="_Toc483469357" w:history="1">
            <w:r w:rsidRPr="00F22096">
              <w:rPr>
                <w:rStyle w:val="Hyperlink"/>
              </w:rPr>
              <w:t>MS-F1: Money Matters</w:t>
            </w:r>
            <w:r>
              <w:rPr>
                <w:webHidden/>
              </w:rPr>
              <w:tab/>
            </w:r>
            <w:r>
              <w:rPr>
                <w:webHidden/>
              </w:rPr>
              <w:fldChar w:fldCharType="begin"/>
            </w:r>
            <w:r>
              <w:rPr>
                <w:webHidden/>
              </w:rPr>
              <w:instrText xml:space="preserve"> PAGEREF _Toc483469357 \h </w:instrText>
            </w:r>
            <w:r>
              <w:rPr>
                <w:webHidden/>
              </w:rPr>
            </w:r>
            <w:r>
              <w:rPr>
                <w:webHidden/>
              </w:rPr>
              <w:fldChar w:fldCharType="separate"/>
            </w:r>
            <w:r w:rsidR="00A76B9D">
              <w:rPr>
                <w:webHidden/>
              </w:rPr>
              <w:t>5</w:t>
            </w:r>
            <w:r>
              <w:rPr>
                <w:webHidden/>
              </w:rPr>
              <w:fldChar w:fldCharType="end"/>
            </w:r>
          </w:hyperlink>
        </w:p>
        <w:p w14:paraId="7CA4393B" w14:textId="77777777" w:rsidR="00067927" w:rsidRDefault="00067927">
          <w:pPr>
            <w:pStyle w:val="TOC3"/>
            <w:rPr>
              <w:rFonts w:asciiTheme="minorHAnsi" w:eastAsiaTheme="minorEastAsia" w:hAnsiTheme="minorHAnsi" w:cstheme="minorBidi"/>
              <w:spacing w:val="0"/>
              <w:lang w:val="en-AU" w:eastAsia="en-AU"/>
            </w:rPr>
          </w:pPr>
          <w:hyperlink w:anchor="_Toc483469358" w:history="1">
            <w:r w:rsidRPr="00F22096">
              <w:rPr>
                <w:rStyle w:val="Hyperlink"/>
              </w:rPr>
              <w:t>Subtopic focus</w:t>
            </w:r>
            <w:r>
              <w:rPr>
                <w:webHidden/>
              </w:rPr>
              <w:tab/>
            </w:r>
            <w:r>
              <w:rPr>
                <w:webHidden/>
              </w:rPr>
              <w:fldChar w:fldCharType="begin"/>
            </w:r>
            <w:r>
              <w:rPr>
                <w:webHidden/>
              </w:rPr>
              <w:instrText xml:space="preserve"> PAGEREF _Toc483469358 \h </w:instrText>
            </w:r>
            <w:r>
              <w:rPr>
                <w:webHidden/>
              </w:rPr>
            </w:r>
            <w:r>
              <w:rPr>
                <w:webHidden/>
              </w:rPr>
              <w:fldChar w:fldCharType="separate"/>
            </w:r>
            <w:r w:rsidR="00A76B9D">
              <w:rPr>
                <w:webHidden/>
              </w:rPr>
              <w:t>5</w:t>
            </w:r>
            <w:r>
              <w:rPr>
                <w:webHidden/>
              </w:rPr>
              <w:fldChar w:fldCharType="end"/>
            </w:r>
          </w:hyperlink>
        </w:p>
        <w:p w14:paraId="43348991" w14:textId="77777777" w:rsidR="00067927" w:rsidRDefault="00067927">
          <w:pPr>
            <w:pStyle w:val="TOC2"/>
            <w:rPr>
              <w:rFonts w:asciiTheme="minorHAnsi" w:eastAsiaTheme="minorEastAsia" w:hAnsiTheme="minorHAnsi" w:cstheme="minorBidi"/>
              <w:spacing w:val="0"/>
              <w:lang w:val="en-AU" w:eastAsia="en-AU"/>
            </w:rPr>
          </w:pPr>
          <w:hyperlink w:anchor="_Toc483469359" w:history="1">
            <w:r w:rsidRPr="00F22096">
              <w:rPr>
                <w:rStyle w:val="Hyperlink"/>
              </w:rPr>
              <w:t>F1.1 Interest and depreciation</w:t>
            </w:r>
            <w:r>
              <w:rPr>
                <w:webHidden/>
              </w:rPr>
              <w:tab/>
            </w:r>
            <w:r>
              <w:rPr>
                <w:webHidden/>
              </w:rPr>
              <w:fldChar w:fldCharType="begin"/>
            </w:r>
            <w:r>
              <w:rPr>
                <w:webHidden/>
              </w:rPr>
              <w:instrText xml:space="preserve"> PAGEREF _Toc483469359 \h </w:instrText>
            </w:r>
            <w:r>
              <w:rPr>
                <w:webHidden/>
              </w:rPr>
            </w:r>
            <w:r>
              <w:rPr>
                <w:webHidden/>
              </w:rPr>
              <w:fldChar w:fldCharType="separate"/>
            </w:r>
            <w:r w:rsidR="00A76B9D">
              <w:rPr>
                <w:webHidden/>
              </w:rPr>
              <w:t>5</w:t>
            </w:r>
            <w:r>
              <w:rPr>
                <w:webHidden/>
              </w:rPr>
              <w:fldChar w:fldCharType="end"/>
            </w:r>
          </w:hyperlink>
        </w:p>
        <w:p w14:paraId="518E4BBA" w14:textId="77777777" w:rsidR="00067927" w:rsidRDefault="00067927">
          <w:pPr>
            <w:pStyle w:val="TOC3"/>
            <w:rPr>
              <w:rFonts w:asciiTheme="minorHAnsi" w:eastAsiaTheme="minorEastAsia" w:hAnsiTheme="minorHAnsi" w:cstheme="minorBidi"/>
              <w:spacing w:val="0"/>
              <w:lang w:val="en-AU" w:eastAsia="en-AU"/>
            </w:rPr>
          </w:pPr>
          <w:hyperlink w:anchor="_Toc483469360" w:history="1">
            <w:r w:rsidRPr="00F22096">
              <w:rPr>
                <w:rStyle w:val="Hyperlink"/>
              </w:rPr>
              <w:t>Considerations and teaching strategies</w:t>
            </w:r>
            <w:r>
              <w:rPr>
                <w:webHidden/>
              </w:rPr>
              <w:tab/>
            </w:r>
            <w:r>
              <w:rPr>
                <w:webHidden/>
              </w:rPr>
              <w:fldChar w:fldCharType="begin"/>
            </w:r>
            <w:r>
              <w:rPr>
                <w:webHidden/>
              </w:rPr>
              <w:instrText xml:space="preserve"> PAGEREF _Toc483469360 \h </w:instrText>
            </w:r>
            <w:r>
              <w:rPr>
                <w:webHidden/>
              </w:rPr>
            </w:r>
            <w:r>
              <w:rPr>
                <w:webHidden/>
              </w:rPr>
              <w:fldChar w:fldCharType="separate"/>
            </w:r>
            <w:r w:rsidR="00A76B9D">
              <w:rPr>
                <w:webHidden/>
              </w:rPr>
              <w:t>5</w:t>
            </w:r>
            <w:r>
              <w:rPr>
                <w:webHidden/>
              </w:rPr>
              <w:fldChar w:fldCharType="end"/>
            </w:r>
          </w:hyperlink>
        </w:p>
        <w:p w14:paraId="5AFC066B" w14:textId="77777777" w:rsidR="00067927" w:rsidRDefault="00067927">
          <w:pPr>
            <w:pStyle w:val="TOC3"/>
            <w:rPr>
              <w:rFonts w:asciiTheme="minorHAnsi" w:eastAsiaTheme="minorEastAsia" w:hAnsiTheme="minorHAnsi" w:cstheme="minorBidi"/>
              <w:spacing w:val="0"/>
              <w:lang w:val="en-AU" w:eastAsia="en-AU"/>
            </w:rPr>
          </w:pPr>
          <w:hyperlink w:anchor="_Toc483469361" w:history="1">
            <w:r w:rsidRPr="00F22096">
              <w:rPr>
                <w:rStyle w:val="Hyperlink"/>
              </w:rPr>
              <w:t>Suggested applications and exemplar questions</w:t>
            </w:r>
            <w:r>
              <w:rPr>
                <w:webHidden/>
              </w:rPr>
              <w:tab/>
            </w:r>
            <w:r>
              <w:rPr>
                <w:webHidden/>
              </w:rPr>
              <w:fldChar w:fldCharType="begin"/>
            </w:r>
            <w:r>
              <w:rPr>
                <w:webHidden/>
              </w:rPr>
              <w:instrText xml:space="preserve"> PAGEREF _Toc483469361 \h </w:instrText>
            </w:r>
            <w:r>
              <w:rPr>
                <w:webHidden/>
              </w:rPr>
            </w:r>
            <w:r>
              <w:rPr>
                <w:webHidden/>
              </w:rPr>
              <w:fldChar w:fldCharType="separate"/>
            </w:r>
            <w:r w:rsidR="00A76B9D">
              <w:rPr>
                <w:webHidden/>
              </w:rPr>
              <w:t>6</w:t>
            </w:r>
            <w:r>
              <w:rPr>
                <w:webHidden/>
              </w:rPr>
              <w:fldChar w:fldCharType="end"/>
            </w:r>
          </w:hyperlink>
        </w:p>
        <w:p w14:paraId="118F2DA3" w14:textId="77777777" w:rsidR="00067927" w:rsidRDefault="00067927">
          <w:pPr>
            <w:pStyle w:val="TOC2"/>
            <w:rPr>
              <w:rFonts w:asciiTheme="minorHAnsi" w:eastAsiaTheme="minorEastAsia" w:hAnsiTheme="minorHAnsi" w:cstheme="minorBidi"/>
              <w:spacing w:val="0"/>
              <w:lang w:val="en-AU" w:eastAsia="en-AU"/>
            </w:rPr>
          </w:pPr>
          <w:hyperlink w:anchor="_Toc483469362" w:history="1">
            <w:r w:rsidRPr="00F22096">
              <w:rPr>
                <w:rStyle w:val="Hyperlink"/>
              </w:rPr>
              <w:t>F1.2: Earning and managing money</w:t>
            </w:r>
            <w:r>
              <w:rPr>
                <w:webHidden/>
              </w:rPr>
              <w:tab/>
            </w:r>
            <w:r>
              <w:rPr>
                <w:webHidden/>
              </w:rPr>
              <w:fldChar w:fldCharType="begin"/>
            </w:r>
            <w:r>
              <w:rPr>
                <w:webHidden/>
              </w:rPr>
              <w:instrText xml:space="preserve"> PAGEREF _Toc483469362 \h </w:instrText>
            </w:r>
            <w:r>
              <w:rPr>
                <w:webHidden/>
              </w:rPr>
            </w:r>
            <w:r>
              <w:rPr>
                <w:webHidden/>
              </w:rPr>
              <w:fldChar w:fldCharType="separate"/>
            </w:r>
            <w:r w:rsidR="00A76B9D">
              <w:rPr>
                <w:webHidden/>
              </w:rPr>
              <w:t>7</w:t>
            </w:r>
            <w:r>
              <w:rPr>
                <w:webHidden/>
              </w:rPr>
              <w:fldChar w:fldCharType="end"/>
            </w:r>
          </w:hyperlink>
        </w:p>
        <w:p w14:paraId="3CD675DF" w14:textId="77777777" w:rsidR="00067927" w:rsidRDefault="00067927">
          <w:pPr>
            <w:pStyle w:val="TOC3"/>
            <w:rPr>
              <w:rFonts w:asciiTheme="minorHAnsi" w:eastAsiaTheme="minorEastAsia" w:hAnsiTheme="minorHAnsi" w:cstheme="minorBidi"/>
              <w:spacing w:val="0"/>
              <w:lang w:val="en-AU" w:eastAsia="en-AU"/>
            </w:rPr>
          </w:pPr>
          <w:hyperlink w:anchor="_Toc483469363" w:history="1">
            <w:r w:rsidRPr="00F22096">
              <w:rPr>
                <w:rStyle w:val="Hyperlink"/>
              </w:rPr>
              <w:t>Considerations and teaching strategies</w:t>
            </w:r>
            <w:r>
              <w:rPr>
                <w:webHidden/>
              </w:rPr>
              <w:tab/>
            </w:r>
            <w:r>
              <w:rPr>
                <w:webHidden/>
              </w:rPr>
              <w:fldChar w:fldCharType="begin"/>
            </w:r>
            <w:r>
              <w:rPr>
                <w:webHidden/>
              </w:rPr>
              <w:instrText xml:space="preserve"> PAGEREF _Toc483469363 \h </w:instrText>
            </w:r>
            <w:r>
              <w:rPr>
                <w:webHidden/>
              </w:rPr>
            </w:r>
            <w:r>
              <w:rPr>
                <w:webHidden/>
              </w:rPr>
              <w:fldChar w:fldCharType="separate"/>
            </w:r>
            <w:r w:rsidR="00A76B9D">
              <w:rPr>
                <w:webHidden/>
              </w:rPr>
              <w:t>7</w:t>
            </w:r>
            <w:r>
              <w:rPr>
                <w:webHidden/>
              </w:rPr>
              <w:fldChar w:fldCharType="end"/>
            </w:r>
          </w:hyperlink>
        </w:p>
        <w:p w14:paraId="0A74B392" w14:textId="77777777" w:rsidR="00067927" w:rsidRDefault="00067927">
          <w:pPr>
            <w:pStyle w:val="TOC3"/>
            <w:rPr>
              <w:rFonts w:asciiTheme="minorHAnsi" w:eastAsiaTheme="minorEastAsia" w:hAnsiTheme="minorHAnsi" w:cstheme="minorBidi"/>
              <w:spacing w:val="0"/>
              <w:lang w:val="en-AU" w:eastAsia="en-AU"/>
            </w:rPr>
          </w:pPr>
          <w:hyperlink w:anchor="_Toc483469364" w:history="1">
            <w:r w:rsidRPr="00F22096">
              <w:rPr>
                <w:rStyle w:val="Hyperlink"/>
              </w:rPr>
              <w:t>Suggested applications and exemplar questions</w:t>
            </w:r>
            <w:r>
              <w:rPr>
                <w:webHidden/>
              </w:rPr>
              <w:tab/>
            </w:r>
            <w:r>
              <w:rPr>
                <w:webHidden/>
              </w:rPr>
              <w:fldChar w:fldCharType="begin"/>
            </w:r>
            <w:r>
              <w:rPr>
                <w:webHidden/>
              </w:rPr>
              <w:instrText xml:space="preserve"> PAGEREF _Toc483469364 \h </w:instrText>
            </w:r>
            <w:r>
              <w:rPr>
                <w:webHidden/>
              </w:rPr>
            </w:r>
            <w:r>
              <w:rPr>
                <w:webHidden/>
              </w:rPr>
              <w:fldChar w:fldCharType="separate"/>
            </w:r>
            <w:r w:rsidR="00A76B9D">
              <w:rPr>
                <w:webHidden/>
              </w:rPr>
              <w:t>7</w:t>
            </w:r>
            <w:r>
              <w:rPr>
                <w:webHidden/>
              </w:rPr>
              <w:fldChar w:fldCharType="end"/>
            </w:r>
          </w:hyperlink>
        </w:p>
        <w:p w14:paraId="3A19AD6C" w14:textId="77777777" w:rsidR="00067927" w:rsidRDefault="00067927">
          <w:pPr>
            <w:pStyle w:val="TOC2"/>
            <w:rPr>
              <w:rFonts w:asciiTheme="minorHAnsi" w:eastAsiaTheme="minorEastAsia" w:hAnsiTheme="minorHAnsi" w:cstheme="minorBidi"/>
              <w:spacing w:val="0"/>
              <w:lang w:val="en-AU" w:eastAsia="en-AU"/>
            </w:rPr>
          </w:pPr>
          <w:hyperlink w:anchor="_Toc483469365" w:history="1">
            <w:r w:rsidRPr="00F22096">
              <w:rPr>
                <w:rStyle w:val="Hyperlink"/>
              </w:rPr>
              <w:t>F1.3: Budgeting and household expenses</w:t>
            </w:r>
            <w:r>
              <w:rPr>
                <w:webHidden/>
              </w:rPr>
              <w:tab/>
            </w:r>
            <w:r>
              <w:rPr>
                <w:webHidden/>
              </w:rPr>
              <w:fldChar w:fldCharType="begin"/>
            </w:r>
            <w:r>
              <w:rPr>
                <w:webHidden/>
              </w:rPr>
              <w:instrText xml:space="preserve"> PAGEREF _Toc483469365 \h </w:instrText>
            </w:r>
            <w:r>
              <w:rPr>
                <w:webHidden/>
              </w:rPr>
            </w:r>
            <w:r>
              <w:rPr>
                <w:webHidden/>
              </w:rPr>
              <w:fldChar w:fldCharType="separate"/>
            </w:r>
            <w:r w:rsidR="00A76B9D">
              <w:rPr>
                <w:webHidden/>
              </w:rPr>
              <w:t>8</w:t>
            </w:r>
            <w:r>
              <w:rPr>
                <w:webHidden/>
              </w:rPr>
              <w:fldChar w:fldCharType="end"/>
            </w:r>
          </w:hyperlink>
        </w:p>
        <w:p w14:paraId="061EE9B8" w14:textId="77777777" w:rsidR="00067927" w:rsidRDefault="00067927">
          <w:pPr>
            <w:pStyle w:val="TOC3"/>
            <w:rPr>
              <w:rFonts w:asciiTheme="minorHAnsi" w:eastAsiaTheme="minorEastAsia" w:hAnsiTheme="minorHAnsi" w:cstheme="minorBidi"/>
              <w:spacing w:val="0"/>
              <w:lang w:val="en-AU" w:eastAsia="en-AU"/>
            </w:rPr>
          </w:pPr>
          <w:hyperlink w:anchor="_Toc483469366" w:history="1">
            <w:r w:rsidRPr="00F22096">
              <w:rPr>
                <w:rStyle w:val="Hyperlink"/>
              </w:rPr>
              <w:t>Considerations and teaching strategies</w:t>
            </w:r>
            <w:r>
              <w:rPr>
                <w:webHidden/>
              </w:rPr>
              <w:tab/>
            </w:r>
            <w:r>
              <w:rPr>
                <w:webHidden/>
              </w:rPr>
              <w:fldChar w:fldCharType="begin"/>
            </w:r>
            <w:r>
              <w:rPr>
                <w:webHidden/>
              </w:rPr>
              <w:instrText xml:space="preserve"> PAGEREF _Toc483469366 \h </w:instrText>
            </w:r>
            <w:r>
              <w:rPr>
                <w:webHidden/>
              </w:rPr>
            </w:r>
            <w:r>
              <w:rPr>
                <w:webHidden/>
              </w:rPr>
              <w:fldChar w:fldCharType="separate"/>
            </w:r>
            <w:r w:rsidR="00A76B9D">
              <w:rPr>
                <w:webHidden/>
              </w:rPr>
              <w:t>8</w:t>
            </w:r>
            <w:r>
              <w:rPr>
                <w:webHidden/>
              </w:rPr>
              <w:fldChar w:fldCharType="end"/>
            </w:r>
          </w:hyperlink>
        </w:p>
        <w:p w14:paraId="6AF8F761" w14:textId="77777777" w:rsidR="00067927" w:rsidRDefault="00067927">
          <w:pPr>
            <w:pStyle w:val="TOC3"/>
            <w:rPr>
              <w:rFonts w:asciiTheme="minorHAnsi" w:eastAsiaTheme="minorEastAsia" w:hAnsiTheme="minorHAnsi" w:cstheme="minorBidi"/>
              <w:spacing w:val="0"/>
              <w:lang w:val="en-AU" w:eastAsia="en-AU"/>
            </w:rPr>
          </w:pPr>
          <w:hyperlink w:anchor="_Toc483469367" w:history="1">
            <w:r w:rsidRPr="00F22096">
              <w:rPr>
                <w:rStyle w:val="Hyperlink"/>
              </w:rPr>
              <w:t>Suggested applications and exemplar questions</w:t>
            </w:r>
            <w:r>
              <w:rPr>
                <w:webHidden/>
              </w:rPr>
              <w:tab/>
            </w:r>
            <w:r>
              <w:rPr>
                <w:webHidden/>
              </w:rPr>
              <w:fldChar w:fldCharType="begin"/>
            </w:r>
            <w:r>
              <w:rPr>
                <w:webHidden/>
              </w:rPr>
              <w:instrText xml:space="preserve"> PAGEREF _Toc483469367 \h </w:instrText>
            </w:r>
            <w:r>
              <w:rPr>
                <w:webHidden/>
              </w:rPr>
            </w:r>
            <w:r>
              <w:rPr>
                <w:webHidden/>
              </w:rPr>
              <w:fldChar w:fldCharType="separate"/>
            </w:r>
            <w:r w:rsidR="00A76B9D">
              <w:rPr>
                <w:webHidden/>
              </w:rPr>
              <w:t>8</w:t>
            </w:r>
            <w:r>
              <w:rPr>
                <w:webHidden/>
              </w:rPr>
              <w:fldChar w:fldCharType="end"/>
            </w:r>
          </w:hyperlink>
        </w:p>
        <w:p w14:paraId="6AAFE631" w14:textId="77777777" w:rsidR="005E558C" w:rsidRPr="00C35024" w:rsidRDefault="005E558C" w:rsidP="00173787">
          <w:pPr>
            <w:pStyle w:val="TOC1"/>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483469349"/>
      <w:bookmarkStart w:id="2" w:name="_Toc345321925"/>
      <w:r>
        <w:lastRenderedPageBreak/>
        <w:t>Topic focus</w:t>
      </w:r>
      <w:bookmarkEnd w:id="1"/>
    </w:p>
    <w:p w14:paraId="40C02D4E" w14:textId="77777777" w:rsidR="005D4259" w:rsidRPr="009826E7" w:rsidRDefault="005D4259" w:rsidP="005D4259">
      <w:pPr>
        <w:spacing w:after="120"/>
        <w:rPr>
          <w:rFonts w:cs="Arial"/>
        </w:rPr>
      </w:pPr>
      <w:bookmarkStart w:id="3" w:name="_Toc472067652"/>
      <w:bookmarkEnd w:id="2"/>
      <w:r w:rsidRPr="009826E7">
        <w:rPr>
          <w:rFonts w:cs="Arial"/>
          <w:i/>
        </w:rPr>
        <w:t xml:space="preserve">Financial Mathematics </w:t>
      </w:r>
      <w:r w:rsidRPr="009826E7">
        <w:rPr>
          <w:rFonts w:cs="Arial"/>
        </w:rPr>
        <w:t xml:space="preserve">involves the application of knowledge, skills and understanding of numbers to earning, spending, investing, saving and borrowing money. </w:t>
      </w:r>
    </w:p>
    <w:p w14:paraId="2796D5B1" w14:textId="77777777" w:rsidR="005D4259" w:rsidRPr="009826E7" w:rsidRDefault="005D4259" w:rsidP="005D4259">
      <w:pPr>
        <w:spacing w:after="120"/>
        <w:rPr>
          <w:rFonts w:cs="Arial"/>
        </w:rPr>
      </w:pPr>
      <w:r w:rsidRPr="009826E7">
        <w:rPr>
          <w:rFonts w:cs="Arial"/>
        </w:rPr>
        <w:t xml:space="preserve">Knowledge of financial mathematics enables students to </w:t>
      </w:r>
      <w:proofErr w:type="spellStart"/>
      <w:r w:rsidRPr="009826E7">
        <w:rPr>
          <w:rFonts w:cs="Arial"/>
        </w:rPr>
        <w:t>analyse</w:t>
      </w:r>
      <w:proofErr w:type="spellEnd"/>
      <w:r w:rsidRPr="009826E7">
        <w:rPr>
          <w:rFonts w:cs="Arial"/>
        </w:rPr>
        <w:t xml:space="preserve"> different financial situations, to calculate the best options for given circumstances, and to solve financial problems.</w:t>
      </w:r>
    </w:p>
    <w:p w14:paraId="7D434B87" w14:textId="619CA3D5" w:rsidR="00761776" w:rsidRPr="00C30062" w:rsidRDefault="00434663" w:rsidP="005D4259">
      <w:pPr>
        <w:spacing w:after="0"/>
        <w:rPr>
          <w:rFonts w:cs="Arial"/>
        </w:rPr>
      </w:pPr>
      <w:r>
        <w:rPr>
          <w:rFonts w:cs="Arial"/>
        </w:rPr>
        <w:t>The s</w:t>
      </w:r>
      <w:r w:rsidR="005D4259" w:rsidRPr="009826E7">
        <w:rPr>
          <w:rFonts w:cs="Arial"/>
        </w:rPr>
        <w:t>tudy of financial mathematics is important in developing students’ ability to make informed financial decisions, to be aware of the consequences of such decisions, and to manage personal financial resources effectively</w:t>
      </w:r>
      <w:r w:rsidR="005D4259" w:rsidRPr="009826E7">
        <w:rPr>
          <w:rFonts w:cs="Arial"/>
          <w:i/>
        </w:rPr>
        <w:t>.</w:t>
      </w:r>
    </w:p>
    <w:p w14:paraId="6F8215EC" w14:textId="5EDF59D9" w:rsidR="00761776" w:rsidRDefault="00761776" w:rsidP="00761776">
      <w:pPr>
        <w:pStyle w:val="Heading1"/>
      </w:pPr>
      <w:bookmarkStart w:id="4" w:name="_Toc483469350"/>
      <w:r>
        <w:t>Prior learning</w:t>
      </w:r>
      <w:bookmarkEnd w:id="4"/>
    </w:p>
    <w:p w14:paraId="027BFE92" w14:textId="79EDABD6" w:rsidR="00761776" w:rsidRDefault="005D4259" w:rsidP="005D4259">
      <w:pPr>
        <w:spacing w:after="120"/>
        <w:rPr>
          <w:rFonts w:cs="Arial"/>
        </w:rPr>
      </w:pPr>
      <w:r w:rsidRPr="009826E7">
        <w:rPr>
          <w:rFonts w:cs="Arial"/>
        </w:rPr>
        <w:t xml:space="preserve">The material in this topic builds on content from the Number and Algebra Strand of the K–10 Mathematics syllabus, including the Stage 5.1 and 5.2 </w:t>
      </w:r>
      <w:proofErr w:type="spellStart"/>
      <w:r w:rsidRPr="009826E7">
        <w:rPr>
          <w:rFonts w:cs="Arial"/>
        </w:rPr>
        <w:t>substrands</w:t>
      </w:r>
      <w:proofErr w:type="spellEnd"/>
      <w:r w:rsidRPr="009826E7">
        <w:rPr>
          <w:rFonts w:cs="Arial"/>
        </w:rPr>
        <w:t xml:space="preserve"> of Financial Mathematics and Linear Relationships.</w:t>
      </w:r>
    </w:p>
    <w:p w14:paraId="3B6B4A1C" w14:textId="080D039F" w:rsidR="00761776" w:rsidRDefault="00761776" w:rsidP="00761776">
      <w:pPr>
        <w:pStyle w:val="Heading1"/>
      </w:pPr>
      <w:bookmarkStart w:id="5" w:name="_Toc483469351"/>
      <w:r>
        <w:t>Terminology</w:t>
      </w:r>
      <w:bookmarkEnd w:id="5"/>
    </w:p>
    <w:tbl>
      <w:tblPr>
        <w:tblStyle w:val="NESATable"/>
        <w:tblW w:w="0" w:type="auto"/>
        <w:tblLook w:val="04A0" w:firstRow="1" w:lastRow="0" w:firstColumn="1" w:lastColumn="0" w:noHBand="0" w:noVBand="1"/>
        <w:tblDescription w:val="Alt text should describe what the table is communicating."/>
      </w:tblPr>
      <w:tblGrid>
        <w:gridCol w:w="3081"/>
        <w:gridCol w:w="3081"/>
        <w:gridCol w:w="3081"/>
      </w:tblGrid>
      <w:tr w:rsidR="00761776" w14:paraId="4ABB20D5" w14:textId="77777777" w:rsidTr="00E82C21">
        <w:trPr>
          <w:trHeight w:val="2262"/>
        </w:trPr>
        <w:tc>
          <w:tcPr>
            <w:cnfStyle w:val="001000000000" w:firstRow="0" w:lastRow="0" w:firstColumn="1" w:lastColumn="0" w:oddVBand="0" w:evenVBand="0" w:oddHBand="0" w:evenHBand="0" w:firstRowFirstColumn="0" w:firstRowLastColumn="0" w:lastRowFirstColumn="0" w:lastRowLastColumn="0"/>
            <w:tcW w:w="3081" w:type="dxa"/>
          </w:tcPr>
          <w:p w14:paraId="009604C8"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allowable tax deductions</w:t>
            </w:r>
          </w:p>
          <w:p w14:paraId="1642254E"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allowance</w:t>
            </w:r>
          </w:p>
          <w:p w14:paraId="029DE11B"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annual leave</w:t>
            </w:r>
          </w:p>
          <w:p w14:paraId="7DD17786"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annual leave loading</w:t>
            </w:r>
          </w:p>
          <w:p w14:paraId="67E34667"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asset</w:t>
            </w:r>
          </w:p>
          <w:p w14:paraId="1510DA2D"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book value</w:t>
            </w:r>
          </w:p>
          <w:p w14:paraId="428EB462"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budget</w:t>
            </w:r>
          </w:p>
          <w:p w14:paraId="77AAEABD"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commission</w:t>
            </w:r>
          </w:p>
          <w:p w14:paraId="72FC5E60" w14:textId="09816D20" w:rsidR="005D4259" w:rsidRPr="005D4259" w:rsidRDefault="005D4259" w:rsidP="005D4259">
            <w:pPr>
              <w:spacing w:after="0" w:line="240" w:lineRule="auto"/>
              <w:rPr>
                <w:rFonts w:eastAsia="Times New Roman" w:cs="Arial"/>
                <w:b w:val="0"/>
              </w:rPr>
            </w:pPr>
            <w:r w:rsidRPr="005D4259">
              <w:rPr>
                <w:rFonts w:eastAsia="Times New Roman" w:cs="Arial"/>
                <w:b w:val="0"/>
              </w:rPr>
              <w:t>compound interest</w:t>
            </w:r>
            <w:r w:rsidR="00EB7924">
              <w:rPr>
                <w:rFonts w:eastAsia="Times New Roman" w:cs="Arial"/>
                <w:b w:val="0"/>
              </w:rPr>
              <w:t xml:space="preserve"> </w:t>
            </w:r>
          </w:p>
          <w:p w14:paraId="56BD83AE"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compounding period</w:t>
            </w:r>
          </w:p>
          <w:p w14:paraId="3F719F53"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comprehensive insurance</w:t>
            </w:r>
          </w:p>
          <w:p w14:paraId="04FA0953"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compulsory insurance</w:t>
            </w:r>
          </w:p>
          <w:p w14:paraId="07446449"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deduction</w:t>
            </w:r>
          </w:p>
          <w:p w14:paraId="65C801A9"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depreciation</w:t>
            </w:r>
          </w:p>
          <w:p w14:paraId="44F492A0"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depreciation schedule</w:t>
            </w:r>
          </w:p>
          <w:p w14:paraId="75A9E2FB"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discount</w:t>
            </w:r>
          </w:p>
          <w:p w14:paraId="1175B5BE"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discretionary spending</w:t>
            </w:r>
          </w:p>
          <w:p w14:paraId="6BC9E58E"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fixed spending</w:t>
            </w:r>
          </w:p>
          <w:p w14:paraId="3B7866E2"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fuel consumption rate</w:t>
            </w:r>
          </w:p>
          <w:p w14:paraId="150FADF7"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goods and services tax (GST)</w:t>
            </w:r>
          </w:p>
          <w:p w14:paraId="1591A99C" w14:textId="77777777" w:rsidR="005D4259" w:rsidRPr="005D4259" w:rsidRDefault="005D4259" w:rsidP="005D4259">
            <w:pPr>
              <w:spacing w:after="0" w:line="240" w:lineRule="auto"/>
              <w:rPr>
                <w:rFonts w:eastAsia="Times New Roman" w:cs="Arial"/>
                <w:b w:val="0"/>
              </w:rPr>
            </w:pPr>
            <w:r w:rsidRPr="005D4259">
              <w:rPr>
                <w:rFonts w:eastAsia="Times New Roman" w:cs="Arial"/>
                <w:b w:val="0"/>
              </w:rPr>
              <w:t>gross income</w:t>
            </w:r>
          </w:p>
          <w:p w14:paraId="696438B5" w14:textId="10248716" w:rsidR="00761776" w:rsidRPr="006C21AE" w:rsidRDefault="005D4259" w:rsidP="005D4259">
            <w:pPr>
              <w:spacing w:after="0"/>
              <w:rPr>
                <w:rFonts w:cs="Arial"/>
                <w:b w:val="0"/>
              </w:rPr>
            </w:pPr>
            <w:r w:rsidRPr="005D4259">
              <w:rPr>
                <w:rFonts w:eastAsia="Times New Roman" w:cs="Arial"/>
                <w:b w:val="0"/>
              </w:rPr>
              <w:t>gross pay</w:t>
            </w:r>
          </w:p>
        </w:tc>
        <w:tc>
          <w:tcPr>
            <w:tcW w:w="3081" w:type="dxa"/>
          </w:tcPr>
          <w:p w14:paraId="30865C8E"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income</w:t>
            </w:r>
          </w:p>
          <w:p w14:paraId="2D998A48"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income tax</w:t>
            </w:r>
          </w:p>
          <w:p w14:paraId="765AA5B3"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interest</w:t>
            </w:r>
          </w:p>
          <w:p w14:paraId="0E93B10D"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interest rate</w:t>
            </w:r>
          </w:p>
          <w:p w14:paraId="52FBFE49"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loan repayment</w:t>
            </w:r>
          </w:p>
          <w:p w14:paraId="28572A10"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loss</w:t>
            </w:r>
          </w:p>
          <w:p w14:paraId="32F55EBC"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market value</w:t>
            </w:r>
          </w:p>
          <w:p w14:paraId="0A40319C"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Medicare levy</w:t>
            </w:r>
          </w:p>
          <w:p w14:paraId="5BBBE2F2"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net pay</w:t>
            </w:r>
          </w:p>
          <w:p w14:paraId="51FE3D5F"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non-compulsory insurance</w:t>
            </w:r>
          </w:p>
          <w:p w14:paraId="21854F16"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on-road costs</w:t>
            </w:r>
          </w:p>
          <w:p w14:paraId="1237D636"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original price (or cost)</w:t>
            </w:r>
          </w:p>
          <w:p w14:paraId="03219995"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overtime</w:t>
            </w:r>
          </w:p>
          <w:p w14:paraId="3B0D92F1"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Pay As You Go (PAYG)</w:t>
            </w:r>
          </w:p>
          <w:p w14:paraId="12CAE8AB"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payment summary</w:t>
            </w:r>
          </w:p>
          <w:p w14:paraId="0D4CACAF"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penalty rate</w:t>
            </w:r>
          </w:p>
          <w:p w14:paraId="518970C4"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pension</w:t>
            </w:r>
          </w:p>
          <w:p w14:paraId="20B7FC13"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percentage</w:t>
            </w:r>
          </w:p>
          <w:p w14:paraId="4D4E3BD2"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period</w:t>
            </w:r>
          </w:p>
          <w:p w14:paraId="4D59B5BD"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piecework</w:t>
            </w:r>
          </w:p>
          <w:p w14:paraId="059DF452"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profit</w:t>
            </w:r>
          </w:p>
          <w:p w14:paraId="44E058B6" w14:textId="17B2AD68" w:rsidR="00761776" w:rsidRPr="00761776" w:rsidRDefault="005D4259" w:rsidP="005D4259">
            <w:pPr>
              <w:spacing w:after="0"/>
              <w:cnfStyle w:val="000000000000" w:firstRow="0" w:lastRow="0" w:firstColumn="0" w:lastColumn="0" w:oddVBand="0" w:evenVBand="0" w:oddHBand="0" w:evenHBand="0" w:firstRowFirstColumn="0" w:firstRowLastColumn="0" w:lastRowFirstColumn="0" w:lastRowLastColumn="0"/>
              <w:rPr>
                <w:rFonts w:cs="Arial"/>
              </w:rPr>
            </w:pPr>
            <w:r>
              <w:rPr>
                <w:rFonts w:eastAsia="Times New Roman" w:cs="Arial"/>
              </w:rPr>
              <w:t>recurrence relation</w:t>
            </w:r>
          </w:p>
        </w:tc>
        <w:tc>
          <w:tcPr>
            <w:tcW w:w="3081" w:type="dxa"/>
          </w:tcPr>
          <w:p w14:paraId="7E836FF2"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 xml:space="preserve">refund </w:t>
            </w:r>
          </w:p>
          <w:p w14:paraId="136A8C41"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royalty</w:t>
            </w:r>
          </w:p>
          <w:p w14:paraId="79935E78"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running costs</w:t>
            </w:r>
          </w:p>
          <w:p w14:paraId="259C1F07"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salary</w:t>
            </w:r>
          </w:p>
          <w:p w14:paraId="715F05B7"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sale price</w:t>
            </w:r>
          </w:p>
          <w:p w14:paraId="656B23D5"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scrap value</w:t>
            </w:r>
          </w:p>
          <w:p w14:paraId="5A4A8103"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simple interest</w:t>
            </w:r>
          </w:p>
          <w:p w14:paraId="774439BC"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sliding scale</w:t>
            </w:r>
          </w:p>
          <w:p w14:paraId="0F67E5D9"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stamp duty</w:t>
            </w:r>
          </w:p>
          <w:p w14:paraId="1FE975C0" w14:textId="6DDAB3FB"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straight-line method</w:t>
            </w:r>
          </w:p>
          <w:p w14:paraId="5A56F7E7"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superannuation</w:t>
            </w:r>
          </w:p>
          <w:p w14:paraId="557138C0"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tax deduction</w:t>
            </w:r>
          </w:p>
          <w:p w14:paraId="739B03CD"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tax instalment</w:t>
            </w:r>
          </w:p>
          <w:p w14:paraId="1CEDB873"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tax payable</w:t>
            </w:r>
          </w:p>
          <w:p w14:paraId="66C9D9AF"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tax return</w:t>
            </w:r>
          </w:p>
          <w:p w14:paraId="68B0FA78"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tax scale</w:t>
            </w:r>
          </w:p>
          <w:p w14:paraId="6885BD03"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taxable income</w:t>
            </w:r>
          </w:p>
          <w:p w14:paraId="6DB0F9BF"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third-party insurance</w:t>
            </w:r>
          </w:p>
          <w:p w14:paraId="396A168A"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useful life</w:t>
            </w:r>
          </w:p>
          <w:p w14:paraId="35EF733E" w14:textId="77777777" w:rsidR="005D4259" w:rsidRPr="00037DED"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vehicle registration</w:t>
            </w:r>
          </w:p>
          <w:p w14:paraId="3E24D376" w14:textId="77777777" w:rsidR="005D4259" w:rsidRDefault="005D4259" w:rsidP="005D425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sidRPr="00037DED">
              <w:rPr>
                <w:rFonts w:eastAsia="Times New Roman" w:cs="Arial"/>
              </w:rPr>
              <w:t>wage</w:t>
            </w:r>
          </w:p>
          <w:p w14:paraId="6DB8199A" w14:textId="25D129B7" w:rsidR="00761776" w:rsidRDefault="005D4259" w:rsidP="005D4259">
            <w:pPr>
              <w:pStyle w:val="TableParagraph"/>
              <w:cnfStyle w:val="000000000000" w:firstRow="0" w:lastRow="0" w:firstColumn="0" w:lastColumn="0" w:oddVBand="0" w:evenVBand="0" w:oddHBand="0" w:evenHBand="0" w:firstRowFirstColumn="0" w:firstRowLastColumn="0" w:lastRowFirstColumn="0" w:lastRowLastColumn="0"/>
            </w:pPr>
            <w:r>
              <w:rPr>
                <w:rFonts w:eastAsia="Times New Roman" w:cs="Arial"/>
              </w:rPr>
              <w:t>wage-sheet</w:t>
            </w:r>
          </w:p>
        </w:tc>
      </w:tr>
    </w:tbl>
    <w:p w14:paraId="71E0D0DF" w14:textId="3B8B59B0" w:rsidR="00761776" w:rsidRDefault="00761776" w:rsidP="00761776">
      <w:pPr>
        <w:pStyle w:val="Heading1"/>
      </w:pPr>
      <w:bookmarkStart w:id="6" w:name="_Toc483469352"/>
      <w:r>
        <w:t>Use of technology</w:t>
      </w:r>
      <w:bookmarkEnd w:id="6"/>
    </w:p>
    <w:p w14:paraId="1ABFAD6F" w14:textId="45441A20" w:rsidR="005D4259" w:rsidRPr="008B28CD" w:rsidRDefault="005D4259" w:rsidP="005D4259">
      <w:pPr>
        <w:spacing w:after="120"/>
        <w:rPr>
          <w:rFonts w:eastAsia="Times New Roman" w:cs="Arial"/>
        </w:rPr>
      </w:pPr>
      <w:r w:rsidRPr="008B28CD">
        <w:rPr>
          <w:rFonts w:eastAsia="Times New Roman" w:cs="Arial"/>
        </w:rPr>
        <w:t xml:space="preserve">Spreadsheets are widely used in the workplace, </w:t>
      </w:r>
      <w:r>
        <w:rPr>
          <w:rFonts w:eastAsia="Times New Roman" w:cs="Arial"/>
        </w:rPr>
        <w:t>particularly</w:t>
      </w:r>
      <w:r w:rsidRPr="008B28CD">
        <w:rPr>
          <w:rFonts w:eastAsia="Times New Roman" w:cs="Arial"/>
        </w:rPr>
        <w:t xml:space="preserve"> in the business and finance sectors. Students </w:t>
      </w:r>
      <w:r w:rsidR="00CB07F9">
        <w:rPr>
          <w:rFonts w:eastAsia="Times New Roman" w:cs="Arial"/>
        </w:rPr>
        <w:t>may</w:t>
      </w:r>
      <w:r w:rsidR="00CB07F9" w:rsidRPr="008B28CD">
        <w:rPr>
          <w:rFonts w:eastAsia="Times New Roman" w:cs="Arial"/>
        </w:rPr>
        <w:t xml:space="preserve"> </w:t>
      </w:r>
      <w:r w:rsidRPr="008B28CD">
        <w:rPr>
          <w:rFonts w:eastAsia="Times New Roman" w:cs="Arial"/>
        </w:rPr>
        <w:t xml:space="preserve">construct and use spreadsheets to perform particular tasks, including calculation of wages and overtime, preparation of personal and family budgets, </w:t>
      </w:r>
      <w:r>
        <w:rPr>
          <w:rFonts w:eastAsia="Times New Roman" w:cs="Arial"/>
        </w:rPr>
        <w:t>planning for future purchases</w:t>
      </w:r>
      <w:r w:rsidRPr="008B28CD">
        <w:rPr>
          <w:rFonts w:eastAsia="Times New Roman" w:cs="Arial"/>
        </w:rPr>
        <w:t xml:space="preserve"> and tracking </w:t>
      </w:r>
      <w:r>
        <w:rPr>
          <w:rFonts w:eastAsia="Times New Roman" w:cs="Arial"/>
        </w:rPr>
        <w:t>investments</w:t>
      </w:r>
      <w:r w:rsidRPr="008B28CD">
        <w:rPr>
          <w:rFonts w:eastAsia="Times New Roman" w:cs="Arial"/>
        </w:rPr>
        <w:t>.</w:t>
      </w:r>
    </w:p>
    <w:p w14:paraId="466D3206" w14:textId="77777777" w:rsidR="005D4259" w:rsidRDefault="005D4259" w:rsidP="005D4259">
      <w:pPr>
        <w:spacing w:after="120"/>
        <w:rPr>
          <w:rFonts w:eastAsia="Times New Roman" w:cs="Arial"/>
        </w:rPr>
      </w:pPr>
      <w:r w:rsidRPr="008B28CD">
        <w:rPr>
          <w:rFonts w:eastAsia="Times New Roman" w:cs="Arial"/>
        </w:rPr>
        <w:lastRenderedPageBreak/>
        <w:t>Spreadsheets allow the user to perform ‘what if’ analyses</w:t>
      </w:r>
      <w:r>
        <w:rPr>
          <w:rFonts w:eastAsia="Times New Roman" w:cs="Arial"/>
        </w:rPr>
        <w:t>, for example</w:t>
      </w:r>
      <w:r w:rsidRPr="008B28CD">
        <w:rPr>
          <w:rFonts w:eastAsia="Times New Roman" w:cs="Arial"/>
        </w:rPr>
        <w:t xml:space="preserve"> to compare the </w:t>
      </w:r>
      <w:r>
        <w:rPr>
          <w:rFonts w:eastAsia="Times New Roman" w:cs="Arial"/>
        </w:rPr>
        <w:t xml:space="preserve">financial effects of different purchase decisions on a budget. </w:t>
      </w:r>
    </w:p>
    <w:p w14:paraId="6624DA95" w14:textId="77777777" w:rsidR="005D4259" w:rsidRDefault="005D4259" w:rsidP="005D4259">
      <w:pPr>
        <w:spacing w:after="120"/>
        <w:rPr>
          <w:rFonts w:eastAsia="Times New Roman" w:cs="Arial"/>
        </w:rPr>
      </w:pPr>
      <w:r w:rsidRPr="008B28CD">
        <w:rPr>
          <w:rFonts w:eastAsia="Times New Roman" w:cs="Arial"/>
        </w:rPr>
        <w:t>Students can use prepared spreadsheets to determine Pay As You Go (PAYG) income tax and the Medicare levy for different taxable incomes.</w:t>
      </w:r>
    </w:p>
    <w:p w14:paraId="2EE26E21" w14:textId="77777777" w:rsidR="005D4259" w:rsidRPr="00B84BFE" w:rsidRDefault="005D4259" w:rsidP="005D4259">
      <w:pPr>
        <w:spacing w:after="120"/>
        <w:rPr>
          <w:rFonts w:eastAsia="Times New Roman" w:cs="Arial"/>
        </w:rPr>
      </w:pPr>
      <w:r w:rsidRPr="00B84BFE">
        <w:rPr>
          <w:rFonts w:eastAsia="Times New Roman" w:cs="Arial"/>
        </w:rPr>
        <w:t xml:space="preserve">The internet </w:t>
      </w:r>
      <w:r>
        <w:rPr>
          <w:rFonts w:eastAsia="Times New Roman" w:cs="Arial"/>
        </w:rPr>
        <w:t>can</w:t>
      </w:r>
      <w:r w:rsidRPr="00B84BFE">
        <w:rPr>
          <w:rFonts w:eastAsia="Times New Roman" w:cs="Arial"/>
        </w:rPr>
        <w:t xml:space="preserve"> be used </w:t>
      </w:r>
      <w:r>
        <w:rPr>
          <w:rFonts w:eastAsia="Times New Roman" w:cs="Arial"/>
        </w:rPr>
        <w:t>to provide up-to-date financial information, for example</w:t>
      </w:r>
      <w:r w:rsidRPr="00B84BFE">
        <w:rPr>
          <w:rFonts w:eastAsia="Times New Roman" w:cs="Arial"/>
        </w:rPr>
        <w:t xml:space="preserve"> </w:t>
      </w:r>
      <w:r w:rsidRPr="008B28CD">
        <w:rPr>
          <w:rFonts w:eastAsia="Times New Roman" w:cs="Arial"/>
        </w:rPr>
        <w:t>interest rates, income tax scales</w:t>
      </w:r>
      <w:r>
        <w:rPr>
          <w:rFonts w:eastAsia="Times New Roman" w:cs="Arial"/>
        </w:rPr>
        <w:t>,</w:t>
      </w:r>
      <w:r w:rsidRPr="00B84BFE">
        <w:rPr>
          <w:rFonts w:eastAsia="Times New Roman" w:cs="Arial"/>
        </w:rPr>
        <w:t xml:space="preserve"> current values of vehicles, stamp-duty rates, fuel prices, and interest rates for personal loans.</w:t>
      </w:r>
    </w:p>
    <w:p w14:paraId="70CCE853" w14:textId="3FA7C653" w:rsidR="00821454" w:rsidRPr="00821454" w:rsidRDefault="005D4259" w:rsidP="005D4259">
      <w:pPr>
        <w:spacing w:after="120"/>
        <w:rPr>
          <w:rFonts w:eastAsia="Arial" w:cs="Arial"/>
          <w:color w:val="000000"/>
          <w:lang w:eastAsia="en-AU"/>
        </w:rPr>
      </w:pPr>
      <w:r w:rsidRPr="00B84BFE">
        <w:rPr>
          <w:rFonts w:eastAsia="Times New Roman" w:cs="Arial"/>
        </w:rPr>
        <w:t xml:space="preserve">Online calculators can be used to investigate </w:t>
      </w:r>
      <w:r>
        <w:rPr>
          <w:rFonts w:eastAsia="Times New Roman" w:cs="Arial"/>
        </w:rPr>
        <w:t>income tax and explore the effect of changing circumstances on the amount to be paid</w:t>
      </w:r>
      <w:r w:rsidRPr="00B84BFE">
        <w:rPr>
          <w:rFonts w:eastAsia="Times New Roman" w:cs="Arial"/>
        </w:rPr>
        <w:t>.</w:t>
      </w:r>
    </w:p>
    <w:p w14:paraId="23B360C5" w14:textId="3A232996" w:rsidR="00761776" w:rsidRDefault="00761776" w:rsidP="00761776">
      <w:pPr>
        <w:pStyle w:val="Heading1"/>
      </w:pPr>
      <w:bookmarkStart w:id="7" w:name="_Toc483469353"/>
      <w:r>
        <w:t>Background information</w:t>
      </w:r>
      <w:bookmarkEnd w:id="7"/>
    </w:p>
    <w:p w14:paraId="0756E329" w14:textId="77777777" w:rsidR="005D4259" w:rsidRPr="00650703" w:rsidRDefault="005D4259" w:rsidP="005D4259">
      <w:pPr>
        <w:autoSpaceDE w:val="0"/>
        <w:autoSpaceDN w:val="0"/>
        <w:adjustRightInd w:val="0"/>
        <w:spacing w:after="120"/>
        <w:rPr>
          <w:rFonts w:cs="Arial"/>
        </w:rPr>
      </w:pPr>
      <w:r w:rsidRPr="00650703">
        <w:rPr>
          <w:rFonts w:cs="Arial"/>
        </w:rPr>
        <w:t xml:space="preserve">The concept of charging interest has been attributed to ancient agricultural </w:t>
      </w:r>
      <w:proofErr w:type="spellStart"/>
      <w:r w:rsidRPr="00650703">
        <w:rPr>
          <w:rFonts w:cs="Arial"/>
        </w:rPr>
        <w:t>civilisations</w:t>
      </w:r>
      <w:proofErr w:type="spellEnd"/>
      <w:r w:rsidRPr="00650703">
        <w:rPr>
          <w:rFonts w:cs="Arial"/>
        </w:rPr>
        <w:t xml:space="preserve"> in which loans of grain could be repaid with ‘interest’ because the grain was self-reproducing. This concept was later applied to loans of commodities such as metals that could not ‘grow’ naturally.</w:t>
      </w:r>
    </w:p>
    <w:p w14:paraId="2B556207" w14:textId="77777777" w:rsidR="005D4259" w:rsidRPr="00650703" w:rsidRDefault="005D4259" w:rsidP="005D4259">
      <w:pPr>
        <w:autoSpaceDE w:val="0"/>
        <w:autoSpaceDN w:val="0"/>
        <w:adjustRightInd w:val="0"/>
        <w:spacing w:after="120"/>
        <w:rPr>
          <w:rFonts w:cs="Arial"/>
        </w:rPr>
      </w:pPr>
      <w:r w:rsidRPr="00650703">
        <w:rPr>
          <w:rFonts w:cs="Arial"/>
        </w:rPr>
        <w:t>Historically, some cultures have regarded compounding interest as an unethical practice that gives the lender an unfair advantage over the borrower. The practice of charging interest is still condemned by some present-day cultures.</w:t>
      </w:r>
    </w:p>
    <w:p w14:paraId="059E80FC" w14:textId="77777777" w:rsidR="005D4259" w:rsidRPr="00650703" w:rsidRDefault="005D4259" w:rsidP="005D4259">
      <w:pPr>
        <w:autoSpaceDE w:val="0"/>
        <w:autoSpaceDN w:val="0"/>
        <w:adjustRightInd w:val="0"/>
        <w:spacing w:after="120"/>
        <w:rPr>
          <w:rFonts w:cs="Arial"/>
        </w:rPr>
      </w:pPr>
      <w:r w:rsidRPr="00650703">
        <w:rPr>
          <w:rFonts w:cs="Arial"/>
        </w:rPr>
        <w:t xml:space="preserve">Tables of compound interest values were used in the </w:t>
      </w:r>
      <w:proofErr w:type="gramStart"/>
      <w:r w:rsidRPr="00650703">
        <w:rPr>
          <w:rFonts w:cs="Arial"/>
        </w:rPr>
        <w:t>Middle</w:t>
      </w:r>
      <w:proofErr w:type="gramEnd"/>
      <w:r w:rsidRPr="00650703">
        <w:rPr>
          <w:rFonts w:cs="Arial"/>
        </w:rPr>
        <w:t xml:space="preserve"> Ages. By the late 16</w:t>
      </w:r>
      <w:r w:rsidRPr="0053434E">
        <w:rPr>
          <w:rStyle w:val="BodyTextChar"/>
        </w:rPr>
        <w:t>th</w:t>
      </w:r>
      <w:r w:rsidRPr="00650703">
        <w:rPr>
          <w:rFonts w:cs="Arial"/>
        </w:rPr>
        <w:t xml:space="preserve"> century</w:t>
      </w:r>
      <w:r>
        <w:rPr>
          <w:rFonts w:cs="Arial"/>
        </w:rPr>
        <w:t>,</w:t>
      </w:r>
      <w:r w:rsidRPr="00650703">
        <w:rPr>
          <w:rFonts w:cs="Arial"/>
        </w:rPr>
        <w:t xml:space="preserve"> publication of simple and compound interest tables was limited to a consideration of the effect of interest rates of 4%, 5% and 10%.  </w:t>
      </w:r>
    </w:p>
    <w:p w14:paraId="6AC1EFDF" w14:textId="60AB0BA0" w:rsidR="00761776" w:rsidRPr="005D4259" w:rsidRDefault="005D4259" w:rsidP="005D4259">
      <w:pPr>
        <w:spacing w:after="0"/>
        <w:rPr>
          <w:rFonts w:cs="Arial"/>
        </w:rPr>
      </w:pPr>
      <w:r w:rsidRPr="005D4259">
        <w:rPr>
          <w:rFonts w:cs="Arial"/>
        </w:rPr>
        <w:t>The quote</w:t>
      </w:r>
      <w:r w:rsidRPr="005D4259">
        <w:rPr>
          <w:rFonts w:cs="Arial"/>
          <w:i/>
        </w:rPr>
        <w:t xml:space="preserve"> ‘Compound interest is the eighth wonder of the world. </w:t>
      </w:r>
      <w:proofErr w:type="gramStart"/>
      <w:r w:rsidRPr="005D4259">
        <w:rPr>
          <w:rFonts w:cs="Arial"/>
          <w:i/>
        </w:rPr>
        <w:t>He</w:t>
      </w:r>
      <w:proofErr w:type="gramEnd"/>
      <w:r w:rsidRPr="005D4259">
        <w:rPr>
          <w:rFonts w:cs="Arial"/>
          <w:i/>
        </w:rPr>
        <w:t xml:space="preserve"> who understands it, earns it ... he who doesn't ... pays it’ </w:t>
      </w:r>
      <w:r w:rsidRPr="005D4259">
        <w:rPr>
          <w:rFonts w:cs="Arial"/>
        </w:rPr>
        <w:t>is often attributed to Albert Einstein, although the earliest place the quote is recorded is in 1983. It has also been attributed to Benjamin Franklin and Baron Rothschild. Whoever said it, the quote illustrates the importance of compound interest in the development of finance over the centuries.</w:t>
      </w:r>
    </w:p>
    <w:p w14:paraId="26232EB1" w14:textId="78D7CCFB" w:rsidR="00F24AA0" w:rsidRDefault="00F24AA0" w:rsidP="00F24AA0">
      <w:pPr>
        <w:pStyle w:val="Heading1"/>
      </w:pPr>
      <w:bookmarkStart w:id="8" w:name="_Toc483469354"/>
      <w:r>
        <w:t>General comments</w:t>
      </w:r>
      <w:bookmarkEnd w:id="8"/>
    </w:p>
    <w:p w14:paraId="2050A107" w14:textId="77777777" w:rsidR="005D4259" w:rsidRDefault="005D4259" w:rsidP="005D4259">
      <w:pPr>
        <w:spacing w:after="120"/>
        <w:rPr>
          <w:rFonts w:cs="Arial"/>
        </w:rPr>
      </w:pPr>
      <w:r w:rsidRPr="00315837">
        <w:rPr>
          <w:rFonts w:cs="Arial"/>
        </w:rPr>
        <w:t xml:space="preserve">Where possible, students should be given the opportunity to </w:t>
      </w:r>
      <w:r>
        <w:rPr>
          <w:rFonts w:cs="Arial"/>
        </w:rPr>
        <w:t xml:space="preserve">model and explore </w:t>
      </w:r>
      <w:r w:rsidRPr="00315837">
        <w:rPr>
          <w:rFonts w:cs="Arial"/>
        </w:rPr>
        <w:t xml:space="preserve">practical </w:t>
      </w:r>
      <w:r>
        <w:rPr>
          <w:rFonts w:cs="Arial"/>
        </w:rPr>
        <w:t>situations</w:t>
      </w:r>
      <w:r w:rsidRPr="00315837">
        <w:rPr>
          <w:rFonts w:cs="Arial"/>
        </w:rPr>
        <w:t xml:space="preserve"> in relation to the mathematics addressed in th</w:t>
      </w:r>
      <w:r>
        <w:rPr>
          <w:rFonts w:cs="Arial"/>
        </w:rPr>
        <w:t>is</w:t>
      </w:r>
      <w:r w:rsidRPr="00315837">
        <w:rPr>
          <w:rFonts w:cs="Arial"/>
        </w:rPr>
        <w:t xml:space="preserve"> topic area</w:t>
      </w:r>
      <w:r>
        <w:rPr>
          <w:rFonts w:cs="Arial"/>
        </w:rPr>
        <w:t xml:space="preserve"> and relevant use of technology</w:t>
      </w:r>
      <w:r w:rsidRPr="00315837">
        <w:rPr>
          <w:rFonts w:cs="Arial"/>
        </w:rPr>
        <w:t>. Where it is not possible to provide practical experiences, the problems posed should be relevant to the lives of students.</w:t>
      </w:r>
    </w:p>
    <w:p w14:paraId="503E5BD0" w14:textId="77777777" w:rsidR="005D4259" w:rsidRDefault="005D4259" w:rsidP="005D4259">
      <w:pPr>
        <w:spacing w:after="120"/>
        <w:rPr>
          <w:rFonts w:eastAsia="Times New Roman" w:cs="Arial"/>
        </w:rPr>
      </w:pPr>
      <w:r>
        <w:rPr>
          <w:rFonts w:cs="Arial"/>
        </w:rPr>
        <w:t xml:space="preserve">This topic provides many opportunities for students to acquire and apply skills through extended real-life investigations. </w:t>
      </w:r>
      <w:r w:rsidRPr="009A562E">
        <w:rPr>
          <w:rFonts w:cs="Arial"/>
        </w:rPr>
        <w:t>Interest areas could include for example, resource usage, food and nutrition, the human body, travel and sustainability.</w:t>
      </w:r>
    </w:p>
    <w:p w14:paraId="03552557" w14:textId="77777777" w:rsidR="005D4259" w:rsidRPr="008B28CD" w:rsidRDefault="005D4259" w:rsidP="005D4259">
      <w:pPr>
        <w:spacing w:after="120"/>
        <w:rPr>
          <w:rFonts w:eastAsia="Times New Roman" w:cs="Arial"/>
        </w:rPr>
      </w:pPr>
      <w:r w:rsidRPr="008B28CD">
        <w:rPr>
          <w:rFonts w:eastAsia="Times New Roman" w:cs="Arial"/>
        </w:rPr>
        <w:t>In Stage 5, students solved Consumer Arithmetic problems involving earning and spending money, and the management of money. In the Financial Mathematics</w:t>
      </w:r>
      <w:r>
        <w:rPr>
          <w:rFonts w:eastAsia="Times New Roman" w:cs="Arial"/>
        </w:rPr>
        <w:t xml:space="preserve"> topic</w:t>
      </w:r>
      <w:r w:rsidRPr="008B28CD">
        <w:rPr>
          <w:rFonts w:eastAsia="Times New Roman" w:cs="Arial"/>
        </w:rPr>
        <w:t xml:space="preserve"> in the </w:t>
      </w:r>
      <w:r>
        <w:rPr>
          <w:rFonts w:eastAsia="Times New Roman" w:cs="Arial"/>
        </w:rPr>
        <w:t>Year 11</w:t>
      </w:r>
      <w:r w:rsidRPr="008B28CD">
        <w:rPr>
          <w:rFonts w:eastAsia="Times New Roman" w:cs="Arial"/>
        </w:rPr>
        <w:t xml:space="preserve"> course, students will develop these concepts further in relation to earning and managing money, investing money and taxation.</w:t>
      </w:r>
    </w:p>
    <w:p w14:paraId="748627DC" w14:textId="77777777" w:rsidR="005D4259" w:rsidRPr="008B28CD" w:rsidRDefault="005D4259" w:rsidP="005D4259">
      <w:pPr>
        <w:spacing w:after="120"/>
        <w:rPr>
          <w:rFonts w:eastAsia="Times New Roman" w:cs="Arial"/>
        </w:rPr>
      </w:pPr>
      <w:r>
        <w:rPr>
          <w:rFonts w:eastAsia="Times New Roman" w:cs="Arial"/>
        </w:rPr>
        <w:t>Learning and teaching in this</w:t>
      </w:r>
      <w:r w:rsidRPr="008B28CD">
        <w:rPr>
          <w:rFonts w:eastAsia="Times New Roman" w:cs="Arial"/>
        </w:rPr>
        <w:t xml:space="preserve"> topic should be supported by the use</w:t>
      </w:r>
      <w:r>
        <w:rPr>
          <w:rFonts w:eastAsia="Times New Roman" w:cs="Arial"/>
        </w:rPr>
        <w:t xml:space="preserve"> of real and up-to-date data, for example</w:t>
      </w:r>
      <w:r w:rsidRPr="008B28CD">
        <w:rPr>
          <w:rFonts w:eastAsia="Times New Roman" w:cs="Arial"/>
        </w:rPr>
        <w:t xml:space="preserve"> calculations of wages and salaries should include calculations in relation to </w:t>
      </w:r>
      <w:r w:rsidRPr="008B28CD">
        <w:rPr>
          <w:rFonts w:eastAsia="Times New Roman" w:cs="Arial"/>
        </w:rPr>
        <w:lastRenderedPageBreak/>
        <w:t>current awards and work contracts.</w:t>
      </w:r>
    </w:p>
    <w:p w14:paraId="59B41809" w14:textId="77777777" w:rsidR="005D4259" w:rsidRPr="00CD4774" w:rsidRDefault="005D4259" w:rsidP="005D4259">
      <w:pPr>
        <w:spacing w:after="120"/>
        <w:rPr>
          <w:rFonts w:eastAsia="Times New Roman" w:cs="Arial"/>
        </w:rPr>
      </w:pPr>
      <w:r>
        <w:rPr>
          <w:rFonts w:eastAsia="Times New Roman" w:cs="Arial"/>
        </w:rPr>
        <w:t xml:space="preserve">The use of </w:t>
      </w:r>
      <w:r w:rsidRPr="00CD4774">
        <w:rPr>
          <w:rFonts w:eastAsia="Times New Roman" w:cs="Arial"/>
        </w:rPr>
        <w:t>current information from a range of sources including, but not limited to, newspapers, journals, magazines, real bills and receipts, and the internet</w:t>
      </w:r>
      <w:r>
        <w:rPr>
          <w:rFonts w:eastAsia="Times New Roman" w:cs="Arial"/>
        </w:rPr>
        <w:t xml:space="preserve"> will allow students to model real-life situations</w:t>
      </w:r>
      <w:r w:rsidRPr="00CD4774">
        <w:rPr>
          <w:rFonts w:eastAsia="Times New Roman" w:cs="Arial"/>
        </w:rPr>
        <w:t>.</w:t>
      </w:r>
    </w:p>
    <w:p w14:paraId="13F0AA7F" w14:textId="45D528E3" w:rsidR="00F24AA0" w:rsidRPr="00821454" w:rsidRDefault="005D4259" w:rsidP="005D4259">
      <w:pPr>
        <w:spacing w:after="120"/>
        <w:rPr>
          <w:rFonts w:eastAsiaTheme="minorEastAsia" w:cs="Arial"/>
        </w:rPr>
      </w:pPr>
      <w:r w:rsidRPr="008B28CD">
        <w:rPr>
          <w:rFonts w:eastAsia="Times New Roman" w:cs="Arial"/>
        </w:rPr>
        <w:t xml:space="preserve">Students should be familiar with correct terminology </w:t>
      </w:r>
      <w:r>
        <w:rPr>
          <w:rFonts w:eastAsia="Times New Roman" w:cs="Arial"/>
        </w:rPr>
        <w:t>in this</w:t>
      </w:r>
      <w:r w:rsidRPr="008B28CD">
        <w:rPr>
          <w:rFonts w:eastAsia="Times New Roman" w:cs="Arial"/>
        </w:rPr>
        <w:t xml:space="preserve"> topic and be able to us</w:t>
      </w:r>
      <w:r w:rsidR="00CB07F9">
        <w:rPr>
          <w:rFonts w:eastAsia="Times New Roman" w:cs="Arial"/>
        </w:rPr>
        <w:t>e</w:t>
      </w:r>
      <w:r w:rsidRPr="008B28CD">
        <w:rPr>
          <w:rFonts w:eastAsia="Times New Roman" w:cs="Arial"/>
        </w:rPr>
        <w:t xml:space="preserve"> this terminology when justifying or explaining their solutions to problems.</w:t>
      </w:r>
    </w:p>
    <w:p w14:paraId="01A00961" w14:textId="3919C5FF" w:rsidR="00F24AA0" w:rsidRDefault="00F24AA0" w:rsidP="00F24AA0">
      <w:pPr>
        <w:pStyle w:val="Heading1"/>
      </w:pPr>
      <w:bookmarkStart w:id="9" w:name="_Toc483469355"/>
      <w:r>
        <w:t>Future study</w:t>
      </w:r>
      <w:bookmarkEnd w:id="9"/>
    </w:p>
    <w:p w14:paraId="316065D5" w14:textId="77777777" w:rsidR="005D4259" w:rsidRDefault="005D4259" w:rsidP="005D4259">
      <w:pPr>
        <w:spacing w:after="120"/>
        <w:rPr>
          <w:rFonts w:cs="Arial"/>
        </w:rPr>
      </w:pPr>
      <w:r>
        <w:rPr>
          <w:rFonts w:cs="Arial"/>
        </w:rPr>
        <w:t>Further work on investment, depreciation and loans is studied in the Year 12 Mathematics Standard 1 course. In Mathematics Standard 2, students will also study annuities.</w:t>
      </w:r>
    </w:p>
    <w:p w14:paraId="5A2F60DD" w14:textId="1D8E6B8D" w:rsidR="005D4259" w:rsidRDefault="00CB07F9" w:rsidP="005D4259">
      <w:pPr>
        <w:spacing w:after="120"/>
        <w:rPr>
          <w:rFonts w:cs="Arial"/>
        </w:rPr>
      </w:pPr>
      <w:r>
        <w:rPr>
          <w:rFonts w:cs="Arial"/>
        </w:rPr>
        <w:t>The</w:t>
      </w:r>
      <w:r w:rsidR="005D4259">
        <w:rPr>
          <w:rFonts w:cs="Arial"/>
        </w:rPr>
        <w:t xml:space="preserve"> Mathematics Standard 2 topic of Annuities will form part of the work in common with the Mathematics Advanced course.</w:t>
      </w:r>
    </w:p>
    <w:p w14:paraId="3070E813" w14:textId="2D9D6A77" w:rsidR="00F24AA0" w:rsidRPr="00821454" w:rsidRDefault="00CB07F9" w:rsidP="005D4259">
      <w:pPr>
        <w:spacing w:after="120"/>
        <w:rPr>
          <w:rFonts w:eastAsiaTheme="minorEastAsia" w:cs="Arial"/>
        </w:rPr>
      </w:pPr>
      <w:r>
        <w:rPr>
          <w:rFonts w:cs="Arial"/>
        </w:rPr>
        <w:t>T</w:t>
      </w:r>
      <w:r w:rsidR="005D4259">
        <w:rPr>
          <w:rFonts w:cs="Arial"/>
        </w:rPr>
        <w:t xml:space="preserve">eachers </w:t>
      </w:r>
      <w:r>
        <w:rPr>
          <w:rFonts w:cs="Arial"/>
        </w:rPr>
        <w:t xml:space="preserve">may choose </w:t>
      </w:r>
      <w:r w:rsidR="005D4259">
        <w:rPr>
          <w:rFonts w:cs="Arial"/>
        </w:rPr>
        <w:t xml:space="preserve">to introduce the terminology that students will encounter in Year 12 </w:t>
      </w:r>
      <w:r>
        <w:rPr>
          <w:rFonts w:cs="Arial"/>
        </w:rPr>
        <w:t>Financial Mathematics during t</w:t>
      </w:r>
      <w:r w:rsidR="005D4259">
        <w:rPr>
          <w:rFonts w:cs="Arial"/>
        </w:rPr>
        <w:t>heir studies of the Year 11 content.</w:t>
      </w:r>
    </w:p>
    <w:p w14:paraId="60AB7C93" w14:textId="68D118A5" w:rsidR="00F24AA0" w:rsidRDefault="00F24AA0" w:rsidP="00F24AA0">
      <w:pPr>
        <w:pStyle w:val="Heading1"/>
      </w:pPr>
      <w:bookmarkStart w:id="10" w:name="_Toc483469356"/>
      <w:r>
        <w:t>Subtopics</w:t>
      </w:r>
      <w:bookmarkEnd w:id="10"/>
    </w:p>
    <w:p w14:paraId="335BDD56" w14:textId="4D5DEC10" w:rsidR="00F24AA0" w:rsidRDefault="005D4259" w:rsidP="00183C24">
      <w:pPr>
        <w:pStyle w:val="ListParagraph"/>
      </w:pPr>
      <w:r w:rsidRPr="005D4259">
        <w:rPr>
          <w:rFonts w:cs="Arial"/>
        </w:rPr>
        <w:t>MS-F1: Money Matters</w:t>
      </w:r>
    </w:p>
    <w:p w14:paraId="46C75408" w14:textId="5DB7AA41" w:rsidR="00F24AA0" w:rsidRDefault="005D4259" w:rsidP="00F24AA0">
      <w:pPr>
        <w:pStyle w:val="Heading2"/>
      </w:pPr>
      <w:bookmarkStart w:id="11" w:name="_Toc483469357"/>
      <w:r>
        <w:t>MS-F</w:t>
      </w:r>
      <w:r w:rsidR="00F24AA0">
        <w:t xml:space="preserve">1: </w:t>
      </w:r>
      <w:r w:rsidR="000F2B54">
        <w:t>Money Matters</w:t>
      </w:r>
      <w:bookmarkEnd w:id="11"/>
    </w:p>
    <w:p w14:paraId="73C87445" w14:textId="0B0A1965" w:rsidR="00F24AA0" w:rsidRDefault="00F24AA0" w:rsidP="00F24AA0">
      <w:pPr>
        <w:pStyle w:val="Heading3"/>
      </w:pPr>
      <w:bookmarkStart w:id="12" w:name="_Toc483469358"/>
      <w:r>
        <w:t xml:space="preserve">Subtopic </w:t>
      </w:r>
      <w:r w:rsidR="007318E3">
        <w:t>f</w:t>
      </w:r>
      <w:r>
        <w:t>ocus</w:t>
      </w:r>
      <w:bookmarkEnd w:id="12"/>
    </w:p>
    <w:p w14:paraId="402F7FF9" w14:textId="77777777" w:rsidR="000F2B54" w:rsidRDefault="000F2B54" w:rsidP="00F45DA4">
      <w:r w:rsidRPr="009826E7">
        <w:t xml:space="preserve">The principal focus of this subtopic is to calculate and graph simple interest, manage earnings, wages and taxation, and develop an appropriate budget for a given situation. </w:t>
      </w:r>
    </w:p>
    <w:p w14:paraId="6C645E7A" w14:textId="1D7CFA15" w:rsidR="00F24AA0" w:rsidRDefault="000F2B54">
      <w:r w:rsidRPr="009826E7">
        <w:t>Students develop an ability to justify various types of financial decisions which will affect their li</w:t>
      </w:r>
      <w:r w:rsidR="00CB07F9">
        <w:t>v</w:t>
      </w:r>
      <w:r w:rsidRPr="009826E7">
        <w:t>e</w:t>
      </w:r>
      <w:r w:rsidR="00CB07F9">
        <w:t>s</w:t>
      </w:r>
      <w:r w:rsidRPr="009826E7">
        <w:t xml:space="preserve"> now and into the future.</w:t>
      </w:r>
    </w:p>
    <w:p w14:paraId="5E03376A" w14:textId="77777777" w:rsidR="002C2B4F" w:rsidRDefault="002C2B4F" w:rsidP="002C2B4F">
      <w:r>
        <w:t>Within this subtopic, schools have the opportunity to identify areas of Stage 5 content which may need to be reviewed to meet the needs of students.</w:t>
      </w:r>
    </w:p>
    <w:p w14:paraId="7DE15F4F" w14:textId="7A062C18" w:rsidR="00F24AA0" w:rsidRPr="00AA2516" w:rsidRDefault="000F2B54" w:rsidP="00AA2516">
      <w:pPr>
        <w:pStyle w:val="Heading2"/>
      </w:pPr>
      <w:bookmarkStart w:id="13" w:name="_Toc483469359"/>
      <w:r w:rsidRPr="00114DD5">
        <w:t>F1.1 Interest and depreciation</w:t>
      </w:r>
      <w:bookmarkEnd w:id="13"/>
    </w:p>
    <w:p w14:paraId="7309C4E4" w14:textId="31656A37" w:rsidR="00F24AA0" w:rsidRDefault="00F24AA0" w:rsidP="00F24AA0">
      <w:pPr>
        <w:pStyle w:val="Heading3"/>
      </w:pPr>
      <w:bookmarkStart w:id="14" w:name="_Toc483469360"/>
      <w:r>
        <w:t>Considerations and teaching strategies</w:t>
      </w:r>
      <w:bookmarkEnd w:id="14"/>
    </w:p>
    <w:p w14:paraId="17BBEFA1" w14:textId="51077BF1" w:rsidR="000F2B54" w:rsidRDefault="000F2B54" w:rsidP="000F2B54">
      <w:pPr>
        <w:pStyle w:val="ListParagraph"/>
      </w:pPr>
      <w:r w:rsidRPr="00260FC9">
        <w:t xml:space="preserve">Review the use and application of percentages so students can </w:t>
      </w:r>
      <w:proofErr w:type="gramStart"/>
      <w:r w:rsidRPr="00260FC9">
        <w:t>explore,</w:t>
      </w:r>
      <w:proofErr w:type="gramEnd"/>
      <w:r w:rsidRPr="00260FC9">
        <w:t xml:space="preserve"> measure and make decisions related to financial situations includ</w:t>
      </w:r>
      <w:r>
        <w:t xml:space="preserve">ing </w:t>
      </w:r>
      <w:r w:rsidRPr="000F2B54">
        <w:t>profit, loss, discount, and goods and service tax (GST)</w:t>
      </w:r>
      <w:r w:rsidR="00CB07F9">
        <w:t>.</w:t>
      </w:r>
    </w:p>
    <w:p w14:paraId="639A35C4" w14:textId="1FE4BEF1" w:rsidR="000F2B54" w:rsidRPr="000F2B54" w:rsidRDefault="000F2B54" w:rsidP="000F2B54">
      <w:pPr>
        <w:pStyle w:val="ListParagraph"/>
      </w:pPr>
      <w:r w:rsidRPr="00542C4B">
        <w:t>Goods</w:t>
      </w:r>
      <w:r w:rsidRPr="000F2B54">
        <w:t xml:space="preserve"> and services tax (GST) calculations should include finding the GST amount, final cost and finding the original cost of goods before GST was added.</w:t>
      </w:r>
    </w:p>
    <w:p w14:paraId="2E0D9ACA" w14:textId="77777777" w:rsidR="000F2B54" w:rsidRDefault="000F2B54" w:rsidP="000F2B54">
      <w:pPr>
        <w:pStyle w:val="ListParagraph"/>
      </w:pPr>
      <w:r w:rsidRPr="00546214">
        <w:t xml:space="preserve">Calculations of simple interest should include </w:t>
      </w:r>
      <w:r>
        <w:t>interest rates</w:t>
      </w:r>
      <w:r w:rsidRPr="00546214">
        <w:t xml:space="preserve"> </w:t>
      </w:r>
      <w:r>
        <w:t xml:space="preserve">expressed </w:t>
      </w:r>
      <w:r w:rsidRPr="00546214">
        <w:t xml:space="preserve">other than </w:t>
      </w:r>
      <w:r>
        <w:t>as ‘</w:t>
      </w:r>
      <w:r w:rsidRPr="00546214">
        <w:t>per annum</w:t>
      </w:r>
      <w:r>
        <w:t>’</w:t>
      </w:r>
      <w:r w:rsidRPr="00546214">
        <w:t xml:space="preserve">. </w:t>
      </w:r>
    </w:p>
    <w:p w14:paraId="5AF7F127" w14:textId="7D1337F0" w:rsidR="000F2B54" w:rsidRPr="00546214" w:rsidRDefault="000F2B54" w:rsidP="000F2B54">
      <w:pPr>
        <w:pStyle w:val="ListParagraph"/>
      </w:pPr>
      <w:r>
        <w:t xml:space="preserve">Review transposing or </w:t>
      </w:r>
      <w:r w:rsidRPr="00706C3D">
        <w:t>rearrangi</w:t>
      </w:r>
      <w:r>
        <w:t xml:space="preserve">ng equations or formulas so students can determine the unknown variable such </w:t>
      </w:r>
      <w:proofErr w:type="gramStart"/>
      <w:r>
        <w:t xml:space="preserve">as </w:t>
      </w:r>
      <w:proofErr w:type="gramEnd"/>
      <m:oMath>
        <m:r>
          <w:rPr>
            <w:rFonts w:ascii="Cambria Math" w:hAnsi="Cambria Math"/>
          </w:rPr>
          <m:t>P</m:t>
        </m:r>
      </m:oMath>
      <w:r>
        <w:t xml:space="preserve">, </w:t>
      </w:r>
      <m:oMath>
        <m:r>
          <w:rPr>
            <w:rFonts w:ascii="Cambria Math" w:hAnsi="Cambria Math"/>
          </w:rPr>
          <m:t>r</m:t>
        </m:r>
      </m:oMath>
      <w:r>
        <w:t xml:space="preserve"> or </w:t>
      </w:r>
      <m:oMath>
        <m:r>
          <w:rPr>
            <w:rFonts w:ascii="Cambria Math" w:hAnsi="Cambria Math"/>
          </w:rPr>
          <m:t>t</m:t>
        </m:r>
      </m:oMath>
      <w:r>
        <w:t xml:space="preserve"> in the context of simple interest.</w:t>
      </w:r>
    </w:p>
    <w:p w14:paraId="74EB40BA" w14:textId="77777777" w:rsidR="000F2B54" w:rsidRDefault="000F2B54" w:rsidP="000F2B54">
      <w:pPr>
        <w:pStyle w:val="ListParagraph"/>
      </w:pPr>
      <w:r>
        <w:lastRenderedPageBreak/>
        <w:t>Graph simple interest situations and explore what the gradient represents and use the graph to interpolate and extrapolate values.</w:t>
      </w:r>
    </w:p>
    <w:p w14:paraId="001F1E6E" w14:textId="77777777" w:rsidR="000F2B54" w:rsidRDefault="000F2B54" w:rsidP="000F2B54">
      <w:pPr>
        <w:pStyle w:val="ListParagraph"/>
      </w:pPr>
      <w:r>
        <w:t>Use tables of relevant data or graphs to interpret financial situations and make decisions.</w:t>
      </w:r>
    </w:p>
    <w:p w14:paraId="44DF0301" w14:textId="77777777" w:rsidR="000F2B54" w:rsidRPr="00542C4B" w:rsidRDefault="000F2B54" w:rsidP="000F2B54">
      <w:pPr>
        <w:pStyle w:val="ListParagraph"/>
      </w:pPr>
      <w:r w:rsidRPr="00542C4B">
        <w:t xml:space="preserve">Explore depreciation using </w:t>
      </w:r>
      <w:r>
        <w:t xml:space="preserve">the </w:t>
      </w:r>
      <w:r w:rsidRPr="00542C4B">
        <w:t xml:space="preserve">straight-line method (also referred to as </w:t>
      </w:r>
      <w:r>
        <w:t>f</w:t>
      </w:r>
      <w:r w:rsidRPr="00542C4B">
        <w:t xml:space="preserve">lat rate or </w:t>
      </w:r>
      <w:r>
        <w:t>p</w:t>
      </w:r>
      <w:r w:rsidRPr="00542C4B">
        <w:t>rime</w:t>
      </w:r>
      <w:r>
        <w:t xml:space="preserve"> c</w:t>
      </w:r>
      <w:r w:rsidRPr="00542C4B">
        <w:t xml:space="preserve">ost depreciation) as an application of simple interest. This could involve activities such as determining depreciation schedules and drawing </w:t>
      </w:r>
      <w:r>
        <w:t>b</w:t>
      </w:r>
      <w:r w:rsidRPr="00542C4B">
        <w:t xml:space="preserve">ook value vs time graphs.  </w:t>
      </w:r>
    </w:p>
    <w:p w14:paraId="7A3793F9" w14:textId="6A1AC3CA" w:rsidR="00EB7924" w:rsidRDefault="000F2B54" w:rsidP="000F2B54">
      <w:pPr>
        <w:pStyle w:val="ListParagraph"/>
      </w:pPr>
      <w:r>
        <w:t xml:space="preserve">Explore and model the relationship of compound interest to simple interest. </w:t>
      </w:r>
      <w:r w:rsidR="00CB07F9">
        <w:t>S</w:t>
      </w:r>
      <w:r>
        <w:t xml:space="preserve">oftware such as a spreadsheet </w:t>
      </w:r>
      <w:r w:rsidR="00CB07F9">
        <w:t xml:space="preserve">can </w:t>
      </w:r>
      <w:r>
        <w:t xml:space="preserve">be used for calculations and graphing. </w:t>
      </w:r>
    </w:p>
    <w:p w14:paraId="01040D01" w14:textId="6EF2C0FE" w:rsidR="00EB7924" w:rsidRDefault="00556392" w:rsidP="00F45DA4">
      <w:pPr>
        <w:pStyle w:val="ListParagraph"/>
        <w:numPr>
          <w:ilvl w:val="0"/>
          <w:numId w:val="0"/>
        </w:numPr>
        <w:spacing w:after="0"/>
        <w:ind w:left="720"/>
      </w:pPr>
      <w:proofErr w:type="spellStart"/>
      <w:r>
        <w:t>E</w:t>
      </w:r>
      <w:r w:rsidR="00EB7924">
        <w:t>g</w:t>
      </w:r>
      <w:proofErr w:type="spellEnd"/>
      <w:r>
        <w:t xml:space="preserve"> </w:t>
      </w:r>
      <w:r w:rsidR="00394EA8">
        <w:t>Students could create and explore the following spreadsheet:</w:t>
      </w:r>
    </w:p>
    <w:p w14:paraId="38A00BD5" w14:textId="2A8451C7" w:rsidR="00394EA8" w:rsidRDefault="00107D81" w:rsidP="00F45DA4">
      <w:pPr>
        <w:spacing w:after="0"/>
        <w:ind w:left="720"/>
      </w:pPr>
      <w:r>
        <w:rPr>
          <w:noProof/>
          <w:lang w:val="en-AU" w:eastAsia="en-AU"/>
        </w:rPr>
        <w:drawing>
          <wp:inline distT="0" distB="0" distL="0" distR="0" wp14:anchorId="31420162" wp14:editId="5A756489">
            <wp:extent cx="3666672" cy="1764000"/>
            <wp:effectExtent l="0" t="0" r="0" b="8255"/>
            <wp:docPr id="7" name="Picture 7" descr="A screenshot of a spreadsheet that calculates simple and compound interest and then calculates the difference." title="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66672" cy="1764000"/>
                    </a:xfrm>
                    <a:prstGeom prst="rect">
                      <a:avLst/>
                    </a:prstGeom>
                  </pic:spPr>
                </pic:pic>
              </a:graphicData>
            </a:graphic>
          </wp:inline>
        </w:drawing>
      </w:r>
    </w:p>
    <w:p w14:paraId="1CCAB722" w14:textId="2CD570BF" w:rsidR="00107D81" w:rsidRDefault="000F2B54" w:rsidP="00F45DA4">
      <w:pPr>
        <w:ind w:left="720"/>
      </w:pPr>
      <w:r>
        <w:t xml:space="preserve"> </w:t>
      </w:r>
      <w:r w:rsidR="00107D81">
        <w:t>The formulae used to create this spreadsheet are as follows:</w:t>
      </w:r>
    </w:p>
    <w:p w14:paraId="27E05BCF" w14:textId="36BE839C" w:rsidR="00107D81" w:rsidRDefault="00107D81" w:rsidP="00F45DA4">
      <w:pPr>
        <w:ind w:left="720"/>
      </w:pPr>
      <w:r>
        <w:rPr>
          <w:noProof/>
          <w:lang w:val="en-AU" w:eastAsia="en-AU"/>
        </w:rPr>
        <w:drawing>
          <wp:inline distT="0" distB="0" distL="0" distR="0" wp14:anchorId="5923596E" wp14:editId="15B71CB8">
            <wp:extent cx="5184000" cy="1678703"/>
            <wp:effectExtent l="0" t="0" r="0" b="0"/>
            <wp:docPr id="6" name="Picture 6" descr="A screenshot of a spreadsheet that shows the formulae used in the spreadsheet that calculates simple and compound interest and then calculates the difference." title="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84000" cy="1678703"/>
                    </a:xfrm>
                    <a:prstGeom prst="rect">
                      <a:avLst/>
                    </a:prstGeom>
                  </pic:spPr>
                </pic:pic>
              </a:graphicData>
            </a:graphic>
          </wp:inline>
        </w:drawing>
      </w:r>
    </w:p>
    <w:p w14:paraId="52B65F18" w14:textId="77777777" w:rsidR="000F2B54" w:rsidRDefault="000F2B54" w:rsidP="000F2B54">
      <w:pPr>
        <w:pStyle w:val="ListParagraph"/>
      </w:pPr>
      <w:r>
        <w:t>Graphical comparison of simple interest versus compound interest investments should be considered and used to interpret financial situations and make decisions.</w:t>
      </w:r>
    </w:p>
    <w:p w14:paraId="3CA0A2C7" w14:textId="1FD6043C" w:rsidR="00F24AA0" w:rsidRPr="00183C24" w:rsidRDefault="000F2B54" w:rsidP="000F2B54">
      <w:pPr>
        <w:pStyle w:val="ListParagraph"/>
      </w:pPr>
      <w:r w:rsidRPr="004C740D">
        <w:t xml:space="preserve">Teachers </w:t>
      </w:r>
      <w:r w:rsidR="00CB07F9" w:rsidRPr="004C740D">
        <w:t>c</w:t>
      </w:r>
      <w:r w:rsidR="00CB07F9">
        <w:t>an</w:t>
      </w:r>
      <w:r w:rsidR="00CB07F9" w:rsidRPr="004C740D">
        <w:t xml:space="preserve"> </w:t>
      </w:r>
      <w:r w:rsidRPr="004C740D">
        <w:t>introduce the following terms at this stage: future value (FV) and present value (PV) in the context of repeated applications of the simple interest formula.</w:t>
      </w:r>
    </w:p>
    <w:p w14:paraId="3517DC6C" w14:textId="3170BB67" w:rsidR="007A55A9" w:rsidRDefault="007A55A9" w:rsidP="007A55A9">
      <w:pPr>
        <w:pStyle w:val="Heading3"/>
      </w:pPr>
      <w:bookmarkStart w:id="15" w:name="_Toc483469361"/>
      <w:r>
        <w:t>Suggested applications and exemplar questions</w:t>
      </w:r>
      <w:bookmarkEnd w:id="15"/>
    </w:p>
    <w:p w14:paraId="3531FB92" w14:textId="77777777" w:rsidR="000F2B54" w:rsidRDefault="000F2B54" w:rsidP="000F2B54">
      <w:pPr>
        <w:pStyle w:val="ListParagraph"/>
      </w:pPr>
      <w:r>
        <w:t xml:space="preserve">The school uniform shop is having a back-to-school sale and is offering a discount on all its goods. </w:t>
      </w:r>
    </w:p>
    <w:p w14:paraId="64E36758" w14:textId="77777777" w:rsidR="008528F3" w:rsidRDefault="000F2B54" w:rsidP="0047258F">
      <w:pPr>
        <w:pStyle w:val="ListParagraph"/>
        <w:numPr>
          <w:ilvl w:val="0"/>
          <w:numId w:val="2"/>
        </w:numPr>
        <w:ind w:left="1434" w:hanging="357"/>
      </w:pPr>
      <w:r>
        <w:t>What is the percentage discount on a shirt reduced from $52.50 to $42.00?</w:t>
      </w:r>
    </w:p>
    <w:p w14:paraId="3A638035" w14:textId="77777777" w:rsidR="008528F3" w:rsidRDefault="000F2B54" w:rsidP="0047258F">
      <w:pPr>
        <w:pStyle w:val="ListParagraph"/>
        <w:numPr>
          <w:ilvl w:val="0"/>
          <w:numId w:val="2"/>
        </w:numPr>
        <w:ind w:left="1434" w:hanging="357"/>
      </w:pPr>
      <w:r w:rsidRPr="004C740D">
        <w:t>Assuming the percentage discount is the same on all items in the uniform shop, find:</w:t>
      </w:r>
    </w:p>
    <w:p w14:paraId="72696E4C" w14:textId="706D4231" w:rsidR="008528F3" w:rsidRDefault="000F2B54" w:rsidP="0047258F">
      <w:pPr>
        <w:pStyle w:val="ListParagraph"/>
        <w:numPr>
          <w:ilvl w:val="0"/>
          <w:numId w:val="3"/>
        </w:numPr>
      </w:pPr>
      <w:r>
        <w:t>the discount amount on a pair of pants whose original price was $36.00</w:t>
      </w:r>
    </w:p>
    <w:p w14:paraId="70128CD8" w14:textId="51B955EA" w:rsidR="000F2B54" w:rsidRDefault="000F2B54" w:rsidP="0047258F">
      <w:pPr>
        <w:pStyle w:val="ListParagraph"/>
        <w:numPr>
          <w:ilvl w:val="0"/>
          <w:numId w:val="3"/>
        </w:numPr>
      </w:pPr>
      <w:proofErr w:type="gramStart"/>
      <w:r>
        <w:t>the</w:t>
      </w:r>
      <w:proofErr w:type="gramEnd"/>
      <w:r>
        <w:t xml:space="preserve"> sale price of a bag which originally cost $39.95.</w:t>
      </w:r>
    </w:p>
    <w:p w14:paraId="12B23355" w14:textId="469BDB3D" w:rsidR="000F2B54" w:rsidRDefault="000F2B54" w:rsidP="0047258F">
      <w:pPr>
        <w:pStyle w:val="ListParagraph"/>
        <w:numPr>
          <w:ilvl w:val="0"/>
          <w:numId w:val="2"/>
        </w:numPr>
        <w:ind w:left="1434" w:hanging="357"/>
      </w:pPr>
      <w:r>
        <w:t xml:space="preserve">If the sale price of </w:t>
      </w:r>
      <w:r w:rsidR="00CB07F9">
        <w:t xml:space="preserve">a </w:t>
      </w:r>
      <w:r>
        <w:t xml:space="preserve">blazer is $129.50, what </w:t>
      </w:r>
      <w:proofErr w:type="gramStart"/>
      <w:r>
        <w:t>was</w:t>
      </w:r>
      <w:proofErr w:type="gramEnd"/>
      <w:r>
        <w:t xml:space="preserve"> its original price and the discount?</w:t>
      </w:r>
    </w:p>
    <w:p w14:paraId="5967F6E7" w14:textId="2A914E2F" w:rsidR="000F2B54" w:rsidRDefault="000F2B54" w:rsidP="000F2B54">
      <w:pPr>
        <w:pStyle w:val="ListParagraph"/>
      </w:pPr>
      <w:r>
        <w:lastRenderedPageBreak/>
        <w:t xml:space="preserve">If the pre-GST price for a fridge </w:t>
      </w:r>
      <w:r w:rsidR="00CB07F9">
        <w:t>i</w:t>
      </w:r>
      <w:r>
        <w:t>s $900, what is the sale price inclusive of GST?</w:t>
      </w:r>
    </w:p>
    <w:p w14:paraId="0477F083" w14:textId="77777777" w:rsidR="000F2B54" w:rsidRDefault="000F2B54" w:rsidP="000F2B54">
      <w:pPr>
        <w:pStyle w:val="ListParagraph"/>
      </w:pPr>
      <w:r>
        <w:t>If a computer was purchased for $2500, what was the amount of GST paid on this item and its pre-GST price?</w:t>
      </w:r>
    </w:p>
    <w:p w14:paraId="085276FC" w14:textId="77777777" w:rsidR="000F2B54" w:rsidRPr="00114DD5" w:rsidRDefault="000F2B54" w:rsidP="000F2B54">
      <w:pPr>
        <w:pStyle w:val="ListParagraph"/>
      </w:pPr>
      <w:r w:rsidRPr="00114DD5">
        <w:t>If the interest rate is quoted as 6% pa, what amount needs to be invested in order for the investment to be worth $850 at year’s end?</w:t>
      </w:r>
    </w:p>
    <w:p w14:paraId="5EAB4729" w14:textId="77777777" w:rsidR="000F2B54" w:rsidRDefault="000F2B54" w:rsidP="000F2B54">
      <w:pPr>
        <w:pStyle w:val="ListParagraph"/>
      </w:pPr>
      <w:r>
        <w:t>It is predicted that a particular</w:t>
      </w:r>
      <w:r w:rsidRPr="00381C99">
        <w:t xml:space="preserve"> </w:t>
      </w:r>
      <w:r>
        <w:t>asset</w:t>
      </w:r>
      <w:r w:rsidRPr="00381C99">
        <w:t xml:space="preserve"> </w:t>
      </w:r>
      <w:r>
        <w:t>will depreciate</w:t>
      </w:r>
      <w:r w:rsidRPr="00381C99">
        <w:t xml:space="preserve"> at a rate of </w:t>
      </w:r>
      <w:r w:rsidRPr="00114DD5">
        <w:t>$80</w:t>
      </w:r>
      <w:r w:rsidRPr="00381C99">
        <w:t xml:space="preserve"> per annum. Calculate its </w:t>
      </w:r>
      <w:r>
        <w:t xml:space="preserve">predicted </w:t>
      </w:r>
      <w:r w:rsidRPr="00381C99">
        <w:t xml:space="preserve">value in </w:t>
      </w:r>
      <w:r>
        <w:t>ten years</w:t>
      </w:r>
      <w:r w:rsidRPr="00381C99">
        <w:t xml:space="preserve"> if it was pu</w:t>
      </w:r>
      <w:r>
        <w:t xml:space="preserve">rchased for </w:t>
      </w:r>
      <w:r w:rsidRPr="00114DD5">
        <w:t>$8000</w:t>
      </w:r>
      <w:r w:rsidRPr="00381C99">
        <w:t>.</w:t>
      </w:r>
    </w:p>
    <w:p w14:paraId="6BD5D0C6" w14:textId="77777777" w:rsidR="000F2B54" w:rsidRPr="00546214" w:rsidRDefault="000F2B54" w:rsidP="000F2B54">
      <w:pPr>
        <w:pStyle w:val="ListParagraph"/>
      </w:pPr>
      <w:r w:rsidRPr="00546214">
        <w:t xml:space="preserve">A principal of </w:t>
      </w:r>
      <w:r w:rsidRPr="00114DD5">
        <w:t>$1000</w:t>
      </w:r>
      <w:r w:rsidRPr="00546214">
        <w:t xml:space="preserve"> is t</w:t>
      </w:r>
      <w:r>
        <w:t>o be invested for three years. Use a spreadsheet to d</w:t>
      </w:r>
      <w:r w:rsidRPr="00546214">
        <w:t xml:space="preserve">etermine which </w:t>
      </w:r>
      <w:r>
        <w:t>of the following is the best investment option:</w:t>
      </w:r>
    </w:p>
    <w:p w14:paraId="04B736D1" w14:textId="77777777" w:rsidR="000F2B54" w:rsidRDefault="000F2B54" w:rsidP="0047258F">
      <w:pPr>
        <w:pStyle w:val="ListParagraph"/>
        <w:numPr>
          <w:ilvl w:val="0"/>
          <w:numId w:val="4"/>
        </w:numPr>
      </w:pPr>
      <w:r w:rsidRPr="008528F3">
        <w:t>6%</w:t>
      </w:r>
      <w:r w:rsidRPr="007976B1">
        <w:t xml:space="preserve"> pa simple interest</w:t>
      </w:r>
    </w:p>
    <w:p w14:paraId="03BE9F36" w14:textId="77777777" w:rsidR="000F2B54" w:rsidRDefault="000F2B54" w:rsidP="0047258F">
      <w:pPr>
        <w:pStyle w:val="ListParagraph"/>
        <w:numPr>
          <w:ilvl w:val="0"/>
          <w:numId w:val="4"/>
        </w:numPr>
        <w:ind w:left="1434" w:hanging="357"/>
      </w:pPr>
      <w:r w:rsidRPr="008528F3">
        <w:t>5.9%</w:t>
      </w:r>
      <w:r w:rsidRPr="005578DE">
        <w:t xml:space="preserve"> pa compounded annually</w:t>
      </w:r>
    </w:p>
    <w:p w14:paraId="20D743E9" w14:textId="42EE7F55" w:rsidR="007A55A9" w:rsidRPr="007A55A9" w:rsidRDefault="000F2B54" w:rsidP="0047258F">
      <w:pPr>
        <w:pStyle w:val="ListParagraph"/>
        <w:numPr>
          <w:ilvl w:val="0"/>
          <w:numId w:val="4"/>
        </w:numPr>
        <w:ind w:left="1434" w:hanging="357"/>
      </w:pPr>
      <w:r w:rsidRPr="008528F3">
        <w:t>5.85%</w:t>
      </w:r>
      <w:r w:rsidRPr="00793C35">
        <w:t xml:space="preserve"> pa compounded half-yearly</w:t>
      </w:r>
      <w:r>
        <w:t>.</w:t>
      </w:r>
    </w:p>
    <w:p w14:paraId="0EE6CDCB" w14:textId="77777777" w:rsidR="008528F3" w:rsidRPr="00A57E51" w:rsidRDefault="008528F3" w:rsidP="008528F3">
      <w:pPr>
        <w:pStyle w:val="Heading2"/>
      </w:pPr>
      <w:bookmarkStart w:id="16" w:name="_Toc483469362"/>
      <w:r>
        <w:t>F1.2:</w:t>
      </w:r>
      <w:r w:rsidRPr="00114DD5">
        <w:t xml:space="preserve"> Earning and managing money</w:t>
      </w:r>
      <w:bookmarkEnd w:id="16"/>
    </w:p>
    <w:p w14:paraId="0783529D" w14:textId="77777777" w:rsidR="00183C24" w:rsidRDefault="00183C24" w:rsidP="00183C24">
      <w:pPr>
        <w:pStyle w:val="Heading3"/>
      </w:pPr>
      <w:bookmarkStart w:id="17" w:name="_Toc483469363"/>
      <w:r>
        <w:t>Considerations and teaching strategies</w:t>
      </w:r>
      <w:bookmarkEnd w:id="17"/>
    </w:p>
    <w:p w14:paraId="00B579DA" w14:textId="77777777" w:rsidR="008528F3" w:rsidRDefault="008528F3" w:rsidP="008528F3">
      <w:pPr>
        <w:pStyle w:val="ListParagraph"/>
      </w:pPr>
      <w:r>
        <w:t>Explore different additions to and deductions from gross pay.</w:t>
      </w:r>
    </w:p>
    <w:p w14:paraId="4D105D30" w14:textId="77777777" w:rsidR="008528F3" w:rsidRDefault="008528F3" w:rsidP="008528F3">
      <w:pPr>
        <w:pStyle w:val="ListParagraph"/>
      </w:pPr>
      <w:r>
        <w:t xml:space="preserve">Investigate industrial awards and agreements of relevance to students. The list of awards can be found on the </w:t>
      </w:r>
      <w:hyperlink r:id="rId13" w:history="1">
        <w:r w:rsidRPr="008022F2">
          <w:rPr>
            <w:rStyle w:val="Hyperlink"/>
            <w:rFonts w:cs="Arial"/>
          </w:rPr>
          <w:t>Australian Government Fair Work Ombudsman</w:t>
        </w:r>
      </w:hyperlink>
      <w:r>
        <w:t xml:space="preserve"> website.</w:t>
      </w:r>
    </w:p>
    <w:p w14:paraId="63AECE7F" w14:textId="77777777" w:rsidR="008528F3" w:rsidRDefault="008528F3" w:rsidP="008528F3">
      <w:pPr>
        <w:pStyle w:val="ListParagraph"/>
      </w:pPr>
      <w:r w:rsidRPr="00114DD5">
        <w:t xml:space="preserve">Tax and levy rates, as published on the </w:t>
      </w:r>
      <w:hyperlink r:id="rId14" w:history="1">
        <w:r w:rsidRPr="00C16E60">
          <w:rPr>
            <w:rStyle w:val="Hyperlink"/>
            <w:rFonts w:cs="Arial"/>
          </w:rPr>
          <w:t>Australian Taxation Office</w:t>
        </w:r>
      </w:hyperlink>
      <w:r w:rsidRPr="00114DD5">
        <w:t xml:space="preserve"> (ATO) website, should be used in the calculation of income tax and the Medicare levy.</w:t>
      </w:r>
      <w:r>
        <w:t xml:space="preserve"> </w:t>
      </w:r>
    </w:p>
    <w:p w14:paraId="39B2F341" w14:textId="658AC368" w:rsidR="008528F3" w:rsidRPr="00546214" w:rsidRDefault="008528F3" w:rsidP="008528F3">
      <w:pPr>
        <w:pStyle w:val="ListParagraph"/>
      </w:pPr>
      <w:r w:rsidRPr="00546214">
        <w:t xml:space="preserve">Calculations involving Youth Allowance, or its equivalent, should be based on the current published rates and conditions. </w:t>
      </w:r>
      <w:r w:rsidR="00CB07F9">
        <w:t>The</w:t>
      </w:r>
      <w:r w:rsidRPr="00546214">
        <w:t xml:space="preserve"> current advertised rates should be used in interest-rate calculations.</w:t>
      </w:r>
    </w:p>
    <w:p w14:paraId="212ADB62" w14:textId="77777777" w:rsidR="008528F3" w:rsidRPr="00514D32" w:rsidRDefault="008528F3" w:rsidP="008528F3">
      <w:pPr>
        <w:pStyle w:val="ListParagraph"/>
      </w:pPr>
      <w:r w:rsidRPr="00514D32">
        <w:t xml:space="preserve">Allowable tax </w:t>
      </w:r>
      <w:r>
        <w:t>deductions</w:t>
      </w:r>
      <w:r w:rsidRPr="00514D32">
        <w:t xml:space="preserve"> can include work-related expenses, travel expenses and donations to registered charities. Students should </w:t>
      </w:r>
      <w:r>
        <w:t>refer to current taxation information and consider</w:t>
      </w:r>
      <w:r w:rsidRPr="00514D32">
        <w:t xml:space="preserve"> tax deduct</w:t>
      </w:r>
      <w:r>
        <w:t>ions for different occupations.</w:t>
      </w:r>
    </w:p>
    <w:p w14:paraId="69A3FB49" w14:textId="042EFF1E" w:rsidR="00183C24" w:rsidRPr="00183C24" w:rsidRDefault="008528F3" w:rsidP="008528F3">
      <w:pPr>
        <w:pStyle w:val="ListParagraph"/>
      </w:pPr>
      <w:r w:rsidRPr="00546214">
        <w:t xml:space="preserve">It should be noted that a graph of tax paid against taxable income is a </w:t>
      </w:r>
      <w:r>
        <w:t>piecewise linear function.</w:t>
      </w:r>
    </w:p>
    <w:p w14:paraId="52EC1CF3" w14:textId="77777777" w:rsidR="00183C24" w:rsidRDefault="00183C24" w:rsidP="00183C24">
      <w:pPr>
        <w:pStyle w:val="Heading3"/>
      </w:pPr>
      <w:bookmarkStart w:id="18" w:name="_Toc483469364"/>
      <w:r>
        <w:t>Suggested applications and exemplar questions</w:t>
      </w:r>
      <w:bookmarkEnd w:id="18"/>
    </w:p>
    <w:bookmarkEnd w:id="3"/>
    <w:p w14:paraId="38313525" w14:textId="77777777" w:rsidR="008528F3" w:rsidRPr="00546214" w:rsidRDefault="008528F3" w:rsidP="008528F3">
      <w:pPr>
        <w:pStyle w:val="ListParagraph"/>
      </w:pPr>
      <w:r w:rsidRPr="00546214">
        <w:t>Calculate earnings based on prepared timesheets.</w:t>
      </w:r>
    </w:p>
    <w:p w14:paraId="52D0AEE5" w14:textId="1777675E" w:rsidR="008528F3" w:rsidRDefault="008528F3" w:rsidP="008528F3">
      <w:pPr>
        <w:pStyle w:val="ListParagraph"/>
      </w:pPr>
      <w:r>
        <w:t xml:space="preserve">A programmer is paid an annual salary of $56 230. Calculate the equivalent hourly rate if an average week is 42 hours of work. </w:t>
      </w:r>
    </w:p>
    <w:p w14:paraId="2AD27AF5" w14:textId="77777777" w:rsidR="008528F3" w:rsidRPr="0055241D" w:rsidRDefault="008528F3" w:rsidP="008528F3">
      <w:pPr>
        <w:pStyle w:val="ListParagraph"/>
      </w:pPr>
      <w:r>
        <w:t>A</w:t>
      </w:r>
      <w:r w:rsidRPr="0055241D">
        <w:t xml:space="preserve"> salesperson, earns a monthly commission of </w:t>
      </w:r>
      <w:r w:rsidRPr="00114DD5">
        <w:t>5%</w:t>
      </w:r>
      <w:r w:rsidRPr="0055241D">
        <w:t xml:space="preserve"> of sales on the first </w:t>
      </w:r>
      <w:r w:rsidRPr="00114DD5">
        <w:t>$1000</w:t>
      </w:r>
      <w:r w:rsidRPr="0055241D">
        <w:t xml:space="preserve"> of sales, </w:t>
      </w:r>
      <w:r w:rsidRPr="00114DD5">
        <w:t>4%</w:t>
      </w:r>
      <w:r w:rsidRPr="0055241D">
        <w:t xml:space="preserve"> on the next </w:t>
      </w:r>
      <w:r w:rsidRPr="00114DD5">
        <w:t>$2000</w:t>
      </w:r>
      <w:r w:rsidRPr="0055241D">
        <w:t xml:space="preserve"> and </w:t>
      </w:r>
      <w:r w:rsidRPr="00114DD5">
        <w:t>3.5%</w:t>
      </w:r>
      <w:r w:rsidRPr="0055241D">
        <w:t xml:space="preserve"> thereafter</w:t>
      </w:r>
      <w:r>
        <w:t xml:space="preserve"> (</w:t>
      </w:r>
      <w:proofErr w:type="spellStart"/>
      <w:r>
        <w:t>ie</w:t>
      </w:r>
      <w:proofErr w:type="spellEnd"/>
      <w:r>
        <w:t xml:space="preserve"> the commission is based on a sliding scale). Calculate the pay for</w:t>
      </w:r>
      <w:r w:rsidRPr="0055241D">
        <w:t xml:space="preserve"> a month </w:t>
      </w:r>
      <w:r>
        <w:t>in which</w:t>
      </w:r>
      <w:r w:rsidRPr="0055241D">
        <w:t xml:space="preserve"> total sales were </w:t>
      </w:r>
      <w:r w:rsidRPr="00114DD5">
        <w:t>$4800</w:t>
      </w:r>
      <w:r w:rsidRPr="0055241D">
        <w:t>.</w:t>
      </w:r>
    </w:p>
    <w:p w14:paraId="67C3D4D4" w14:textId="77777777" w:rsidR="008528F3" w:rsidRPr="0055241D" w:rsidRDefault="008528F3" w:rsidP="008528F3">
      <w:pPr>
        <w:pStyle w:val="ListParagraph"/>
      </w:pPr>
      <w:r w:rsidRPr="0055241D">
        <w:t>Make a comparison of wages i</w:t>
      </w:r>
      <w:r>
        <w:t>n various countries for different careers</w:t>
      </w:r>
      <w:r w:rsidRPr="0055241D">
        <w:t>.</w:t>
      </w:r>
    </w:p>
    <w:p w14:paraId="5EC8C253" w14:textId="77777777" w:rsidR="008528F3" w:rsidRPr="00114DD5" w:rsidRDefault="008528F3" w:rsidP="008528F3">
      <w:pPr>
        <w:pStyle w:val="ListParagraph"/>
      </w:pPr>
      <w:r w:rsidRPr="00114DD5">
        <w:t>Calculate the tax refund (or amount payable) based on a sample Payment Summary, taking into account gross income, tax deductions, taxable income, tax payable on taxable income, the Medicare levy, and tax already paid as per the Payment Summary.</w:t>
      </w:r>
    </w:p>
    <w:p w14:paraId="56D3C6EA" w14:textId="77777777" w:rsidR="008528F3" w:rsidRPr="00114DD5" w:rsidRDefault="008528F3" w:rsidP="008528F3">
      <w:pPr>
        <w:pStyle w:val="ListParagraph"/>
      </w:pPr>
      <w:r w:rsidRPr="00114DD5">
        <w:t>Students complete a tax return form (as included in the Tax Pack) using a typical PAYG employee’s earnings and deductions. The aim is to calculate the refund from or amount owed to the ATO.</w:t>
      </w:r>
    </w:p>
    <w:p w14:paraId="1582D3E8" w14:textId="77777777" w:rsidR="008528F3" w:rsidRPr="00114DD5" w:rsidRDefault="008528F3" w:rsidP="008528F3">
      <w:pPr>
        <w:pStyle w:val="ListParagraph"/>
      </w:pPr>
      <w:r w:rsidRPr="00114DD5">
        <w:t>Students use an online tax calculator. For details, visit the ATO website.</w:t>
      </w:r>
    </w:p>
    <w:p w14:paraId="78A72E2E" w14:textId="5AC53AEB" w:rsidR="001438B2" w:rsidRDefault="00CB07F9" w:rsidP="008528F3">
      <w:pPr>
        <w:pStyle w:val="ListParagraph"/>
      </w:pPr>
      <w:r>
        <w:t>Students s</w:t>
      </w:r>
      <w:r w:rsidR="008528F3" w:rsidRPr="00114DD5">
        <w:t xml:space="preserve">elect a career and prepare a report that includes the educational </w:t>
      </w:r>
      <w:r w:rsidR="008528F3" w:rsidRPr="00114DD5">
        <w:lastRenderedPageBreak/>
        <w:t>requirements, job conditions, and remuneration. Students can obtain information from sources including newspapers, online job advertisements, and recruitment agencies. The report might also include calculation of net pay after tax.</w:t>
      </w:r>
    </w:p>
    <w:p w14:paraId="5E10A50C" w14:textId="175A136F" w:rsidR="001438B2" w:rsidRPr="001438B2" w:rsidRDefault="008528F3" w:rsidP="001438B2">
      <w:pPr>
        <w:pStyle w:val="Heading2"/>
      </w:pPr>
      <w:bookmarkStart w:id="19" w:name="_Toc483469365"/>
      <w:r w:rsidRPr="00A57E51">
        <w:t xml:space="preserve">F1.3: </w:t>
      </w:r>
      <w:r w:rsidRPr="00114DD5">
        <w:t>Budgeting and household expenses</w:t>
      </w:r>
      <w:bookmarkEnd w:id="19"/>
      <w:r w:rsidR="001438B2" w:rsidRPr="001438B2">
        <w:t xml:space="preserve"> </w:t>
      </w:r>
    </w:p>
    <w:p w14:paraId="73EE20CB" w14:textId="77777777" w:rsidR="001438B2" w:rsidRPr="00630FCF" w:rsidRDefault="001438B2" w:rsidP="001438B2">
      <w:pPr>
        <w:pStyle w:val="Heading3"/>
      </w:pPr>
      <w:bookmarkStart w:id="20" w:name="_Toc483469366"/>
      <w:r w:rsidRPr="00630FCF">
        <w:t>Considerations and teaching strategies</w:t>
      </w:r>
      <w:bookmarkEnd w:id="20"/>
    </w:p>
    <w:p w14:paraId="3E052C89" w14:textId="77777777" w:rsidR="008528F3" w:rsidRPr="006458B5" w:rsidRDefault="008528F3" w:rsidP="008528F3">
      <w:pPr>
        <w:pStyle w:val="ListParagraph"/>
        <w:rPr>
          <w:b/>
        </w:rPr>
      </w:pPr>
      <w:r w:rsidRPr="005B6207">
        <w:t xml:space="preserve">Explore the various ways </w:t>
      </w:r>
      <w:proofErr w:type="spellStart"/>
      <w:r w:rsidRPr="005B6207">
        <w:t>organisations</w:t>
      </w:r>
      <w:proofErr w:type="spellEnd"/>
      <w:r w:rsidRPr="005B6207">
        <w:t xml:space="preserve"> charge for their services and display this information. Services could include electricity, water, gas, internet and telephone or council rates. </w:t>
      </w:r>
    </w:p>
    <w:p w14:paraId="678A64A6" w14:textId="220E93C2" w:rsidR="008528F3" w:rsidRPr="007976B1" w:rsidRDefault="008528F3" w:rsidP="008528F3">
      <w:pPr>
        <w:pStyle w:val="ListParagraph"/>
      </w:pPr>
      <w:r>
        <w:t>Use household documents to</w:t>
      </w:r>
      <w:r w:rsidRPr="007976B1">
        <w:t xml:space="preserve"> interpret information about a household’s </w:t>
      </w:r>
      <w:r>
        <w:t>energy and resource</w:t>
      </w:r>
      <w:r w:rsidRPr="007976B1">
        <w:t xml:space="preserve"> usage</w:t>
      </w:r>
      <w:r>
        <w:t xml:space="preserve"> and </w:t>
      </w:r>
      <w:r w:rsidRPr="004C740D">
        <w:t>to make informed financial judgments and decisions</w:t>
      </w:r>
      <w:r w:rsidR="00CB07F9">
        <w:t xml:space="preserve">, for example, </w:t>
      </w:r>
      <w:r w:rsidRPr="007976B1">
        <w:t>a household water</w:t>
      </w:r>
      <w:r>
        <w:t xml:space="preserve">, </w:t>
      </w:r>
      <w:proofErr w:type="gramStart"/>
      <w:r>
        <w:t>gas</w:t>
      </w:r>
      <w:proofErr w:type="gramEnd"/>
      <w:r>
        <w:t xml:space="preserve"> or electricity bill.</w:t>
      </w:r>
    </w:p>
    <w:p w14:paraId="43442F30" w14:textId="77777777" w:rsidR="008528F3" w:rsidRDefault="008528F3" w:rsidP="008528F3">
      <w:pPr>
        <w:pStyle w:val="ListParagraph"/>
        <w:rPr>
          <w:b/>
        </w:rPr>
      </w:pPr>
      <w:r w:rsidRPr="008B54ED">
        <w:t>Stamp duty is levied by the Office of State Revenue</w:t>
      </w:r>
      <w:r w:rsidRPr="008B54ED">
        <w:rPr>
          <w:color w:val="000000"/>
        </w:rPr>
        <w:t xml:space="preserve"> </w:t>
      </w:r>
      <w:r w:rsidRPr="008B54ED">
        <w:t>when a vehicle is registered to a new owner. Stamp duty is paid on the market value of the vehicle or the price actually paid, whichever is greater.</w:t>
      </w:r>
    </w:p>
    <w:p w14:paraId="29D31A15" w14:textId="77777777" w:rsidR="008528F3" w:rsidRDefault="008528F3" w:rsidP="008528F3">
      <w:pPr>
        <w:pStyle w:val="ListParagraph"/>
        <w:rPr>
          <w:b/>
        </w:rPr>
      </w:pPr>
      <w:r>
        <w:t>M</w:t>
      </w:r>
      <w:r w:rsidRPr="000A1AF6">
        <w:t xml:space="preserve">ake calculations and comparisons of running costs </w:t>
      </w:r>
      <w:r>
        <w:t xml:space="preserve">of, for example, appliances or vehicles, </w:t>
      </w:r>
      <w:r w:rsidRPr="000A1AF6">
        <w:t>using information</w:t>
      </w:r>
      <w:r w:rsidRPr="008B54ED">
        <w:t xml:space="preserve"> from a table or graph.</w:t>
      </w:r>
    </w:p>
    <w:p w14:paraId="229C62B6" w14:textId="77777777" w:rsidR="008528F3" w:rsidRPr="007976B1" w:rsidRDefault="008528F3" w:rsidP="008528F3">
      <w:pPr>
        <w:pStyle w:val="ListParagraph"/>
        <w:rPr>
          <w:b/>
        </w:rPr>
      </w:pPr>
      <w:r w:rsidRPr="00CD4774">
        <w:t>Budgeting should be set in personal contexts, as opposed to other contexts such as a family budget. Many students will be familiar with aspects of earning money through employment on a casual or part-time basis. Students should develop weekly and monthly budgets that include income, expenses and savings.</w:t>
      </w:r>
    </w:p>
    <w:p w14:paraId="45B82AD4" w14:textId="3A51050F" w:rsidR="001438B2" w:rsidRDefault="008528F3" w:rsidP="008528F3">
      <w:pPr>
        <w:pStyle w:val="ListParagraph"/>
      </w:pPr>
      <w:r>
        <w:t>When considering the c</w:t>
      </w:r>
      <w:r w:rsidRPr="004C740D">
        <w:t xml:space="preserve">ost of repairs by tradespeople </w:t>
      </w:r>
      <w:r w:rsidR="00CB07F9">
        <w:t xml:space="preserve">this </w:t>
      </w:r>
      <w:r w:rsidRPr="004C740D">
        <w:t>should include the cost of out-of-hours</w:t>
      </w:r>
      <w:r w:rsidRPr="007976B1">
        <w:t xml:space="preserve"> </w:t>
      </w:r>
      <w:r>
        <w:t xml:space="preserve">or </w:t>
      </w:r>
      <w:r w:rsidRPr="007976B1">
        <w:t>emergency</w:t>
      </w:r>
      <w:r w:rsidRPr="007976B1">
        <w:rPr>
          <w:spacing w:val="-6"/>
        </w:rPr>
        <w:t xml:space="preserve"> </w:t>
      </w:r>
      <w:r w:rsidRPr="007976B1">
        <w:t>repairs.</w:t>
      </w:r>
    </w:p>
    <w:p w14:paraId="454FF084" w14:textId="77777777" w:rsidR="001438B2" w:rsidRPr="00630FCF" w:rsidRDefault="001438B2" w:rsidP="001438B2">
      <w:pPr>
        <w:pStyle w:val="Heading3"/>
      </w:pPr>
      <w:bookmarkStart w:id="21" w:name="_Toc483469367"/>
      <w:r w:rsidRPr="00630FCF">
        <w:t>Suggested applications and exemplar questions</w:t>
      </w:r>
      <w:bookmarkEnd w:id="21"/>
    </w:p>
    <w:p w14:paraId="2FD83DBB" w14:textId="77777777" w:rsidR="008528F3" w:rsidRDefault="008528F3" w:rsidP="008528F3">
      <w:pPr>
        <w:pStyle w:val="Bullett1"/>
        <w:rPr>
          <w:rFonts w:cs="Arial"/>
          <w:szCs w:val="22"/>
        </w:rPr>
      </w:pPr>
      <w:r>
        <w:rPr>
          <w:rFonts w:cs="Arial"/>
          <w:szCs w:val="22"/>
        </w:rPr>
        <w:t>Students could:</w:t>
      </w:r>
    </w:p>
    <w:p w14:paraId="15C4EB07" w14:textId="77777777" w:rsidR="008528F3" w:rsidRPr="008528F3" w:rsidRDefault="008528F3" w:rsidP="008528F3">
      <w:pPr>
        <w:pStyle w:val="ListParagraph"/>
      </w:pPr>
      <w:proofErr w:type="gramStart"/>
      <w:r w:rsidRPr="008528F3">
        <w:t>investigate</w:t>
      </w:r>
      <w:proofErr w:type="gramEnd"/>
      <w:r w:rsidRPr="008528F3">
        <w:t xml:space="preserve"> the purchase of a vehicle, given a set amount of money and write a report. </w:t>
      </w:r>
    </w:p>
    <w:p w14:paraId="3E7938F2" w14:textId="77777777" w:rsidR="008528F3" w:rsidRPr="008528F3" w:rsidRDefault="008528F3" w:rsidP="008528F3">
      <w:pPr>
        <w:pStyle w:val="ListParagraph"/>
        <w:ind w:left="1434" w:hanging="357"/>
      </w:pPr>
      <w:r w:rsidRPr="008528F3">
        <w:t>Research should include selecting a vehicle, making calculations if additional funding is required, the type of lending institution and lending rate, amount payable in stamp duty, cost of transfer of registration fees, and insurance costs.</w:t>
      </w:r>
    </w:p>
    <w:p w14:paraId="4B8A67BE" w14:textId="77777777" w:rsidR="008528F3" w:rsidRPr="008528F3" w:rsidRDefault="008528F3" w:rsidP="008528F3">
      <w:pPr>
        <w:pStyle w:val="ListParagraph"/>
      </w:pPr>
      <w:proofErr w:type="gramStart"/>
      <w:r w:rsidRPr="008528F3">
        <w:t>investigate</w:t>
      </w:r>
      <w:proofErr w:type="gramEnd"/>
      <w:r w:rsidRPr="008528F3">
        <w:t xml:space="preserve"> and write a report on the factors that affect insurance premiums, for example the type of vehicle, age of the driver, and where the vehicle is to be garaged. Statistics related to vehicle theft, and the gender and age of drivers in accidents, should also be examined when investigating the cost of insurance and making comparisons.</w:t>
      </w:r>
    </w:p>
    <w:p w14:paraId="17BAB6F9" w14:textId="77777777" w:rsidR="008528F3" w:rsidRPr="008528F3" w:rsidRDefault="008528F3" w:rsidP="008528F3">
      <w:pPr>
        <w:pStyle w:val="ListParagraph"/>
      </w:pPr>
      <w:proofErr w:type="gramStart"/>
      <w:r w:rsidRPr="008528F3">
        <w:t>construct</w:t>
      </w:r>
      <w:proofErr w:type="gramEnd"/>
      <w:r w:rsidRPr="008528F3">
        <w:t xml:space="preserve"> a map to display the cost of insurance in different locations. Theft statistics could also be gathered and a comparison made between the cost of insurance and relevant theft statistics.</w:t>
      </w:r>
    </w:p>
    <w:p w14:paraId="710A24DA" w14:textId="77777777" w:rsidR="008528F3" w:rsidRPr="008528F3" w:rsidRDefault="008528F3" w:rsidP="008528F3">
      <w:pPr>
        <w:pStyle w:val="ListParagraph"/>
      </w:pPr>
      <w:proofErr w:type="gramStart"/>
      <w:r w:rsidRPr="008528F3">
        <w:t>compare</w:t>
      </w:r>
      <w:proofErr w:type="gramEnd"/>
      <w:r w:rsidRPr="008528F3">
        <w:t xml:space="preserve"> the cost of insurance for different makes of cars of the same size, or for the same make of car with different-aged drivers, or for the same make of car garaged at different addresses.</w:t>
      </w:r>
    </w:p>
    <w:p w14:paraId="2D34BA74" w14:textId="77777777" w:rsidR="008528F3" w:rsidRPr="008528F3" w:rsidRDefault="008528F3" w:rsidP="008528F3">
      <w:pPr>
        <w:pStyle w:val="ListParagraph"/>
      </w:pPr>
      <w:proofErr w:type="gramStart"/>
      <w:r w:rsidRPr="008528F3">
        <w:t>use</w:t>
      </w:r>
      <w:proofErr w:type="gramEnd"/>
      <w:r w:rsidRPr="008528F3">
        <w:t xml:space="preserve"> online calculators to estimate the total weekly running costs for different makes and models of cars and motorcycles.</w:t>
      </w:r>
    </w:p>
    <w:p w14:paraId="5AE1C656" w14:textId="77777777" w:rsidR="008528F3" w:rsidRPr="008528F3" w:rsidRDefault="008528F3" w:rsidP="008528F3">
      <w:pPr>
        <w:pStyle w:val="ListParagraph"/>
      </w:pPr>
      <w:r w:rsidRPr="008528F3">
        <w:t xml:space="preserve">calculate the yearly fuel consumption and the yearly cost of petrol for various classes of vehicle, for example a car with a 4 cylinder, 1.6 L engine compared to one with a 6 </w:t>
      </w:r>
      <w:r w:rsidRPr="008528F3">
        <w:lastRenderedPageBreak/>
        <w:t xml:space="preserve">cylinder, 4 L engine, given their fuel consumption rate in </w:t>
      </w:r>
      <w:proofErr w:type="spellStart"/>
      <w:r w:rsidRPr="008528F3">
        <w:t>litres</w:t>
      </w:r>
      <w:proofErr w:type="spellEnd"/>
      <w:r w:rsidRPr="008528F3">
        <w:t xml:space="preserve"> per 100 </w:t>
      </w:r>
      <w:proofErr w:type="spellStart"/>
      <w:r w:rsidRPr="008528F3">
        <w:t>kilometres</w:t>
      </w:r>
      <w:proofErr w:type="spellEnd"/>
      <w:r w:rsidRPr="008528F3">
        <w:t>.</w:t>
      </w:r>
    </w:p>
    <w:p w14:paraId="2282B50C" w14:textId="77777777" w:rsidR="008528F3" w:rsidRPr="008528F3" w:rsidRDefault="008528F3" w:rsidP="008528F3">
      <w:pPr>
        <w:pStyle w:val="ListParagraph"/>
      </w:pPr>
      <w:proofErr w:type="gramStart"/>
      <w:r w:rsidRPr="008528F3">
        <w:t>calculate</w:t>
      </w:r>
      <w:proofErr w:type="gramEnd"/>
      <w:r w:rsidRPr="008528F3">
        <w:t xml:space="preserve"> and compare running and environmental costs for similar vehicles using different types of fuel, for example calculate and compare the running costs of a particular vehicle using petrol, diesel, or liquefied petroleum gas (LPG).</w:t>
      </w:r>
    </w:p>
    <w:p w14:paraId="0B68651B" w14:textId="77777777" w:rsidR="008528F3" w:rsidRPr="008528F3" w:rsidRDefault="008528F3" w:rsidP="008528F3">
      <w:pPr>
        <w:pStyle w:val="ListParagraph"/>
      </w:pPr>
      <w:proofErr w:type="gramStart"/>
      <w:r w:rsidRPr="008528F3">
        <w:t>compare</w:t>
      </w:r>
      <w:proofErr w:type="gramEnd"/>
      <w:r w:rsidRPr="008528F3">
        <w:t xml:space="preserve"> the cost of an individual driving to and from a workplace, to </w:t>
      </w:r>
      <w:proofErr w:type="spellStart"/>
      <w:r w:rsidRPr="008528F3">
        <w:t>car pooling</w:t>
      </w:r>
      <w:proofErr w:type="spellEnd"/>
      <w:r w:rsidRPr="008528F3">
        <w:t>, car sharing and public transport for the same purpose.</w:t>
      </w:r>
    </w:p>
    <w:p w14:paraId="3EFB64D2" w14:textId="77777777" w:rsidR="008528F3" w:rsidRPr="008528F3" w:rsidRDefault="008528F3" w:rsidP="008528F3">
      <w:pPr>
        <w:pStyle w:val="ListParagraph"/>
      </w:pPr>
      <w:proofErr w:type="gramStart"/>
      <w:r w:rsidRPr="008528F3">
        <w:t>calculate</w:t>
      </w:r>
      <w:proofErr w:type="gramEnd"/>
      <w:r w:rsidRPr="008528F3">
        <w:t xml:space="preserve"> the actual running costs from a log book, which includes date, location, cost and amount of petrol purchased, and odometer reading.</w:t>
      </w:r>
    </w:p>
    <w:p w14:paraId="1895D4EB" w14:textId="77777777" w:rsidR="0047258F" w:rsidRDefault="008528F3" w:rsidP="008528F3">
      <w:pPr>
        <w:pStyle w:val="ListParagraph"/>
      </w:pPr>
      <w:proofErr w:type="gramStart"/>
      <w:r w:rsidRPr="008528F3">
        <w:t>prepare</w:t>
      </w:r>
      <w:proofErr w:type="gramEnd"/>
      <w:r w:rsidRPr="008528F3">
        <w:t xml:space="preserve"> a personal budget for given income and expenditure. The budget should include a savings plan and should be modified as income and expenses change, for example a change in income or an increase in the cost of petrol. </w:t>
      </w:r>
    </w:p>
    <w:p w14:paraId="4D57A5FA" w14:textId="66339987" w:rsidR="008528F3" w:rsidRPr="008528F3" w:rsidRDefault="008528F3" w:rsidP="0047258F">
      <w:pPr>
        <w:pStyle w:val="ListParagraph"/>
        <w:ind w:left="1434" w:hanging="357"/>
      </w:pPr>
      <w:r w:rsidRPr="008528F3">
        <w:t>This could be facilitated using a spreadsheet, where it is easy to change the amounts for income and expenses and assess the effect on budgeted savings</w:t>
      </w:r>
      <w:r w:rsidR="0047258F">
        <w:t xml:space="preserve"> or </w:t>
      </w:r>
      <w:r w:rsidRPr="008528F3">
        <w:t>explore scenarios where expenses exceed income and how this might be resolved by reducing discretionary spending.</w:t>
      </w:r>
    </w:p>
    <w:p w14:paraId="368751EB" w14:textId="77777777" w:rsidR="008528F3" w:rsidRPr="008528F3" w:rsidRDefault="008528F3" w:rsidP="008528F3">
      <w:pPr>
        <w:pStyle w:val="ListParagraph"/>
      </w:pPr>
      <w:proofErr w:type="gramStart"/>
      <w:r w:rsidRPr="008528F3">
        <w:t>review</w:t>
      </w:r>
      <w:proofErr w:type="gramEnd"/>
      <w:r w:rsidRPr="008528F3">
        <w:t xml:space="preserve"> a previously prepared budget to reallocate funds for a sudden contingency.</w:t>
      </w:r>
    </w:p>
    <w:p w14:paraId="005E8602" w14:textId="77777777" w:rsidR="008528F3" w:rsidRPr="008528F3" w:rsidRDefault="008528F3" w:rsidP="008528F3">
      <w:pPr>
        <w:pStyle w:val="ListParagraph"/>
      </w:pPr>
      <w:proofErr w:type="gramStart"/>
      <w:r w:rsidRPr="008528F3">
        <w:t>use</w:t>
      </w:r>
      <w:proofErr w:type="gramEnd"/>
      <w:r w:rsidRPr="008528F3">
        <w:t xml:space="preserve"> household bills to calculate the residential rate and the total payable. Predict the annual costs using a bill and the bill history.</w:t>
      </w:r>
    </w:p>
    <w:p w14:paraId="4547A1D7" w14:textId="77777777" w:rsidR="008528F3" w:rsidRPr="008528F3" w:rsidRDefault="008528F3" w:rsidP="008528F3">
      <w:pPr>
        <w:pStyle w:val="ListParagraph"/>
      </w:pPr>
      <w:proofErr w:type="gramStart"/>
      <w:r w:rsidRPr="008528F3">
        <w:t>calculate</w:t>
      </w:r>
      <w:proofErr w:type="gramEnd"/>
      <w:r w:rsidRPr="008528F3">
        <w:t xml:space="preserve"> stamp duty. For example:</w:t>
      </w:r>
    </w:p>
    <w:p w14:paraId="10228622" w14:textId="7C612233" w:rsidR="008528F3" w:rsidRPr="008528F3" w:rsidRDefault="008528F3" w:rsidP="0047258F">
      <w:pPr>
        <w:pStyle w:val="ListParagraph"/>
        <w:ind w:left="1434" w:hanging="357"/>
      </w:pPr>
      <w:r w:rsidRPr="008528F3">
        <w:t>The stamp duty for a vehicle with a market value of $50 000 was calculated in NSW in 2012 as follows: 3% of the market value of a vehicle up to $45 000, plus 5% of the valu</w:t>
      </w:r>
      <w:r>
        <w:t>e of the vehicle over $45 000.</w:t>
      </w:r>
    </w:p>
    <w:p w14:paraId="17807855" w14:textId="77777777" w:rsidR="008528F3" w:rsidRPr="008528F3" w:rsidRDefault="008528F3" w:rsidP="0047258F">
      <w:pPr>
        <w:ind w:left="717" w:firstLine="360"/>
        <w:rPr>
          <w:i/>
        </w:rPr>
      </w:pPr>
      <w:r w:rsidRPr="008528F3">
        <w:rPr>
          <w:i/>
        </w:rPr>
        <w:t>Solution:</w:t>
      </w:r>
    </w:p>
    <w:p w14:paraId="36950E46" w14:textId="379C8BB0" w:rsidR="008528F3" w:rsidRPr="008528F3" w:rsidRDefault="008528F3" w:rsidP="008528F3">
      <w:pPr>
        <w:ind w:left="1440"/>
      </w:pPr>
      <w:r w:rsidRPr="008528F3">
        <w:t xml:space="preserve">Stamp duty on $45 000 at 3% </w:t>
      </w:r>
      <m:oMath>
        <m:r>
          <w:rPr>
            <w:rFonts w:ascii="Cambria Math" w:hAnsi="Cambria Math"/>
          </w:rPr>
          <m:t>=</m:t>
        </m:r>
      </m:oMath>
      <w:r w:rsidRPr="008528F3">
        <w:t xml:space="preserve"> $1350 </w:t>
      </w:r>
    </w:p>
    <w:p w14:paraId="0F517284" w14:textId="38ED640E" w:rsidR="008528F3" w:rsidRPr="008528F3" w:rsidRDefault="008528F3" w:rsidP="008528F3">
      <w:pPr>
        <w:ind w:left="1440"/>
      </w:pPr>
      <w:r w:rsidRPr="008528F3">
        <w:t xml:space="preserve">Stamp duty on $5000 at </w:t>
      </w:r>
      <w:r>
        <w:t>5%</w:t>
      </w:r>
      <w:r>
        <w:tab/>
      </w:r>
      <m:oMath>
        <m:r>
          <w:rPr>
            <w:rFonts w:ascii="Cambria Math" w:hAnsi="Cambria Math"/>
          </w:rPr>
          <m:t>=</m:t>
        </m:r>
      </m:oMath>
      <w:r w:rsidRPr="008528F3">
        <w:t xml:space="preserve"> $250</w:t>
      </w:r>
    </w:p>
    <w:p w14:paraId="04BE28E6" w14:textId="45C1243D" w:rsidR="00761776" w:rsidRPr="008528F3" w:rsidRDefault="008528F3" w:rsidP="008528F3">
      <w:pPr>
        <w:ind w:left="1440"/>
      </w:pPr>
      <w:r w:rsidRPr="008528F3">
        <w:t xml:space="preserve">Total stamp </w:t>
      </w:r>
      <w:r>
        <w:t>duty</w:t>
      </w:r>
      <w:r>
        <w:tab/>
      </w:r>
      <w:r>
        <w:tab/>
      </w:r>
      <m:oMath>
        <m:r>
          <w:rPr>
            <w:rFonts w:ascii="Cambria Math" w:hAnsi="Cambria Math"/>
          </w:rPr>
          <m:t>=</m:t>
        </m:r>
      </m:oMath>
      <w:r w:rsidRPr="008528F3">
        <w:t xml:space="preserve"> </w:t>
      </w:r>
      <w:r>
        <w:t>$1600</w:t>
      </w:r>
    </w:p>
    <w:sectPr w:rsidR="00761776" w:rsidRPr="008528F3" w:rsidSect="007A299A">
      <w:footerReference w:type="default" r:id="rId15"/>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E64EA" w14:textId="77777777" w:rsidR="000C4576" w:rsidRDefault="000C4576" w:rsidP="00156BAF">
      <w:r>
        <w:separator/>
      </w:r>
    </w:p>
  </w:endnote>
  <w:endnote w:type="continuationSeparator" w:id="0">
    <w:p w14:paraId="7D074FA0" w14:textId="77777777" w:rsidR="000C4576" w:rsidRDefault="000C4576"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82C21" w:rsidRPr="00CD6BC9" w:rsidRDefault="00E82C21"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748B1C32" w:rsidR="00E82C21" w:rsidRPr="007764C2" w:rsidRDefault="00E82C21" w:rsidP="008763AF">
    <w:pPr>
      <w:pStyle w:val="Footer"/>
      <w:tabs>
        <w:tab w:val="left" w:pos="8364"/>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F45DA4">
      <w:rPr>
        <w:rStyle w:val="PageNumber"/>
        <w:noProof/>
      </w:rPr>
      <w:t>2</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F45DA4">
      <w:rPr>
        <w:rStyle w:val="PageNumber"/>
        <w:noProof/>
      </w:rPr>
      <w:t>9</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819E5" w14:textId="77777777" w:rsidR="000C4576" w:rsidRPr="00325CBF" w:rsidRDefault="000C4576" w:rsidP="00325CBF">
      <w:pPr>
        <w:spacing w:line="240" w:lineRule="auto"/>
        <w:rPr>
          <w:color w:val="280070"/>
        </w:rPr>
      </w:pPr>
      <w:r w:rsidRPr="00325CBF">
        <w:rPr>
          <w:color w:val="280070"/>
        </w:rPr>
        <w:separator/>
      </w:r>
    </w:p>
  </w:footnote>
  <w:footnote w:type="continuationSeparator" w:id="0">
    <w:p w14:paraId="6D6BBA94" w14:textId="77777777" w:rsidR="000C4576" w:rsidRDefault="000C4576"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0BA0"/>
    <w:multiLevelType w:val="hybridMultilevel"/>
    <w:tmpl w:val="A6B60EA8"/>
    <w:lvl w:ilvl="0" w:tplc="B88EBCA4">
      <w:start w:val="1"/>
      <w:numFmt w:val="bullet"/>
      <w:pStyle w:val="ListParagraph"/>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3DCC0AF6"/>
    <w:multiLevelType w:val="hybridMultilevel"/>
    <w:tmpl w:val="4D0068EA"/>
    <w:lvl w:ilvl="0" w:tplc="3F5287DA">
      <w:start w:val="1"/>
      <w:numFmt w:val="lowerLetter"/>
      <w:lvlText w:val="(%1)"/>
      <w:lvlJc w:val="left"/>
      <w:pPr>
        <w:ind w:left="2157" w:hanging="360"/>
      </w:pPr>
      <w:rPr>
        <w:rFonts w:hint="default"/>
      </w:rPr>
    </w:lvl>
    <w:lvl w:ilvl="1" w:tplc="0C090019">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2">
    <w:nsid w:val="459F282E"/>
    <w:multiLevelType w:val="hybridMultilevel"/>
    <w:tmpl w:val="4D0068EA"/>
    <w:lvl w:ilvl="0" w:tplc="3F5287DA">
      <w:start w:val="1"/>
      <w:numFmt w:val="lowerLetter"/>
      <w:lvlText w:val="(%1)"/>
      <w:lvlJc w:val="left"/>
      <w:pPr>
        <w:ind w:left="1437" w:hanging="360"/>
      </w:pPr>
      <w:rPr>
        <w:rFonts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
    <w:nsid w:val="7FCD3969"/>
    <w:multiLevelType w:val="hybridMultilevel"/>
    <w:tmpl w:val="F536E238"/>
    <w:lvl w:ilvl="0" w:tplc="70D86B5A">
      <w:start w:val="1"/>
      <w:numFmt w:val="lowerRoman"/>
      <w:lvlText w:val="(%1)"/>
      <w:lvlJc w:val="left"/>
      <w:pPr>
        <w:ind w:left="1794" w:hanging="360"/>
      </w:pPr>
      <w:rPr>
        <w:rFonts w:ascii="Arial" w:eastAsia="Times New Roman" w:hAnsi="Arial" w:cs="Aria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0"/>
  </w:num>
  <w:num w:numId="2">
    <w:abstractNumId w:val="1"/>
  </w:num>
  <w:num w:numId="3">
    <w:abstractNumId w:val="3"/>
  </w:num>
  <w:num w:numId="4">
    <w:abstractNumId w:val="2"/>
  </w:num>
  <w:num w:numId="5">
    <w:abstractNumId w:val="0"/>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4DC3"/>
    <w:rsid w:val="00027706"/>
    <w:rsid w:val="00031307"/>
    <w:rsid w:val="0005157C"/>
    <w:rsid w:val="00053B78"/>
    <w:rsid w:val="00067927"/>
    <w:rsid w:val="00070837"/>
    <w:rsid w:val="00076786"/>
    <w:rsid w:val="000926D0"/>
    <w:rsid w:val="00094778"/>
    <w:rsid w:val="000B2545"/>
    <w:rsid w:val="000B32F9"/>
    <w:rsid w:val="000B4C09"/>
    <w:rsid w:val="000C4576"/>
    <w:rsid w:val="000D46BF"/>
    <w:rsid w:val="000D51F5"/>
    <w:rsid w:val="000F2B54"/>
    <w:rsid w:val="00105C3F"/>
    <w:rsid w:val="00107D81"/>
    <w:rsid w:val="00111DA1"/>
    <w:rsid w:val="00124DA6"/>
    <w:rsid w:val="00130F01"/>
    <w:rsid w:val="001438B2"/>
    <w:rsid w:val="00145CA6"/>
    <w:rsid w:val="00146EF7"/>
    <w:rsid w:val="00156BAF"/>
    <w:rsid w:val="00173787"/>
    <w:rsid w:val="0017403B"/>
    <w:rsid w:val="001822A3"/>
    <w:rsid w:val="00183C24"/>
    <w:rsid w:val="00183D29"/>
    <w:rsid w:val="0018730D"/>
    <w:rsid w:val="00187448"/>
    <w:rsid w:val="001974F8"/>
    <w:rsid w:val="001B76C9"/>
    <w:rsid w:val="001C1A89"/>
    <w:rsid w:val="001E617F"/>
    <w:rsid w:val="00203F08"/>
    <w:rsid w:val="00205BFC"/>
    <w:rsid w:val="00206E95"/>
    <w:rsid w:val="002168B6"/>
    <w:rsid w:val="0023186D"/>
    <w:rsid w:val="002362B4"/>
    <w:rsid w:val="00251190"/>
    <w:rsid w:val="00271FF3"/>
    <w:rsid w:val="002A20BF"/>
    <w:rsid w:val="002C023F"/>
    <w:rsid w:val="002C2B4F"/>
    <w:rsid w:val="002D003B"/>
    <w:rsid w:val="002D0E7E"/>
    <w:rsid w:val="00306D63"/>
    <w:rsid w:val="003132AD"/>
    <w:rsid w:val="00321F77"/>
    <w:rsid w:val="00322ED9"/>
    <w:rsid w:val="00325CBF"/>
    <w:rsid w:val="00334861"/>
    <w:rsid w:val="003764F5"/>
    <w:rsid w:val="00380BA5"/>
    <w:rsid w:val="0038202C"/>
    <w:rsid w:val="00394EA8"/>
    <w:rsid w:val="003A1600"/>
    <w:rsid w:val="003B419B"/>
    <w:rsid w:val="003B68E7"/>
    <w:rsid w:val="003C251D"/>
    <w:rsid w:val="003C4832"/>
    <w:rsid w:val="003E3EA2"/>
    <w:rsid w:val="003F3A00"/>
    <w:rsid w:val="003F5BF2"/>
    <w:rsid w:val="003F767B"/>
    <w:rsid w:val="00421662"/>
    <w:rsid w:val="00434663"/>
    <w:rsid w:val="00441375"/>
    <w:rsid w:val="004576D6"/>
    <w:rsid w:val="004620BA"/>
    <w:rsid w:val="0047258F"/>
    <w:rsid w:val="00491EC2"/>
    <w:rsid w:val="004971AE"/>
    <w:rsid w:val="004A3CC6"/>
    <w:rsid w:val="004B18DE"/>
    <w:rsid w:val="004D55B8"/>
    <w:rsid w:val="004E43BE"/>
    <w:rsid w:val="004F50CF"/>
    <w:rsid w:val="00500EFB"/>
    <w:rsid w:val="00542B06"/>
    <w:rsid w:val="00546BDC"/>
    <w:rsid w:val="00556392"/>
    <w:rsid w:val="005C443A"/>
    <w:rsid w:val="005D4259"/>
    <w:rsid w:val="005E558C"/>
    <w:rsid w:val="00620553"/>
    <w:rsid w:val="00635FFE"/>
    <w:rsid w:val="00636618"/>
    <w:rsid w:val="006416CE"/>
    <w:rsid w:val="00652013"/>
    <w:rsid w:val="006667AC"/>
    <w:rsid w:val="0066796C"/>
    <w:rsid w:val="00680045"/>
    <w:rsid w:val="006972AA"/>
    <w:rsid w:val="006A12D6"/>
    <w:rsid w:val="006C21AE"/>
    <w:rsid w:val="006D61CD"/>
    <w:rsid w:val="007000D0"/>
    <w:rsid w:val="007318E3"/>
    <w:rsid w:val="0074021F"/>
    <w:rsid w:val="00743DD5"/>
    <w:rsid w:val="007555B7"/>
    <w:rsid w:val="00761776"/>
    <w:rsid w:val="00764B2B"/>
    <w:rsid w:val="00765155"/>
    <w:rsid w:val="007764C2"/>
    <w:rsid w:val="007A299A"/>
    <w:rsid w:val="007A55A9"/>
    <w:rsid w:val="007C5A90"/>
    <w:rsid w:val="00821454"/>
    <w:rsid w:val="0082376D"/>
    <w:rsid w:val="0082686C"/>
    <w:rsid w:val="008372DA"/>
    <w:rsid w:val="008528F3"/>
    <w:rsid w:val="0086128C"/>
    <w:rsid w:val="008763AF"/>
    <w:rsid w:val="008867AC"/>
    <w:rsid w:val="008E55DA"/>
    <w:rsid w:val="008F0BD6"/>
    <w:rsid w:val="00923BD1"/>
    <w:rsid w:val="00927266"/>
    <w:rsid w:val="00956BC1"/>
    <w:rsid w:val="00960A63"/>
    <w:rsid w:val="00976B1A"/>
    <w:rsid w:val="009773AB"/>
    <w:rsid w:val="009821BF"/>
    <w:rsid w:val="0098528B"/>
    <w:rsid w:val="009C0A21"/>
    <w:rsid w:val="009E7342"/>
    <w:rsid w:val="00A159E1"/>
    <w:rsid w:val="00A225F0"/>
    <w:rsid w:val="00A23A36"/>
    <w:rsid w:val="00A31E35"/>
    <w:rsid w:val="00A34FBF"/>
    <w:rsid w:val="00A51221"/>
    <w:rsid w:val="00A5605F"/>
    <w:rsid w:val="00A6311C"/>
    <w:rsid w:val="00A63C2D"/>
    <w:rsid w:val="00A70977"/>
    <w:rsid w:val="00A76B9D"/>
    <w:rsid w:val="00AA2516"/>
    <w:rsid w:val="00AB14D9"/>
    <w:rsid w:val="00AB4D91"/>
    <w:rsid w:val="00AC0093"/>
    <w:rsid w:val="00AD01EE"/>
    <w:rsid w:val="00AD3FA7"/>
    <w:rsid w:val="00AF253D"/>
    <w:rsid w:val="00AF3A98"/>
    <w:rsid w:val="00B06562"/>
    <w:rsid w:val="00B1619F"/>
    <w:rsid w:val="00B256EC"/>
    <w:rsid w:val="00B3016F"/>
    <w:rsid w:val="00B35269"/>
    <w:rsid w:val="00B60069"/>
    <w:rsid w:val="00B808EF"/>
    <w:rsid w:val="00BC26B4"/>
    <w:rsid w:val="00BF413F"/>
    <w:rsid w:val="00C052B1"/>
    <w:rsid w:val="00C115E8"/>
    <w:rsid w:val="00C14A7B"/>
    <w:rsid w:val="00C2063C"/>
    <w:rsid w:val="00C35024"/>
    <w:rsid w:val="00C60B23"/>
    <w:rsid w:val="00C82497"/>
    <w:rsid w:val="00C96B33"/>
    <w:rsid w:val="00CA7A0A"/>
    <w:rsid w:val="00CB07F9"/>
    <w:rsid w:val="00CB5EC5"/>
    <w:rsid w:val="00CD6BC9"/>
    <w:rsid w:val="00D074C9"/>
    <w:rsid w:val="00D23F6C"/>
    <w:rsid w:val="00D436C3"/>
    <w:rsid w:val="00D62860"/>
    <w:rsid w:val="00D80847"/>
    <w:rsid w:val="00DA2DDA"/>
    <w:rsid w:val="00DB699F"/>
    <w:rsid w:val="00DD5786"/>
    <w:rsid w:val="00DD5F94"/>
    <w:rsid w:val="00DD7852"/>
    <w:rsid w:val="00E11D41"/>
    <w:rsid w:val="00E3318E"/>
    <w:rsid w:val="00E47308"/>
    <w:rsid w:val="00E53235"/>
    <w:rsid w:val="00E57C1D"/>
    <w:rsid w:val="00E603DD"/>
    <w:rsid w:val="00E71946"/>
    <w:rsid w:val="00E74354"/>
    <w:rsid w:val="00E76195"/>
    <w:rsid w:val="00E82C21"/>
    <w:rsid w:val="00E917AB"/>
    <w:rsid w:val="00E926D2"/>
    <w:rsid w:val="00E965CF"/>
    <w:rsid w:val="00EB7924"/>
    <w:rsid w:val="00ED189B"/>
    <w:rsid w:val="00EF075C"/>
    <w:rsid w:val="00EF3F58"/>
    <w:rsid w:val="00F054CB"/>
    <w:rsid w:val="00F24AA0"/>
    <w:rsid w:val="00F3457F"/>
    <w:rsid w:val="00F45DA4"/>
    <w:rsid w:val="00F47555"/>
    <w:rsid w:val="00F56935"/>
    <w:rsid w:val="00F721EE"/>
    <w:rsid w:val="00F722C5"/>
    <w:rsid w:val="00F773EC"/>
    <w:rsid w:val="00F81F84"/>
    <w:rsid w:val="00FA0A96"/>
    <w:rsid w:val="00FA5658"/>
    <w:rsid w:val="00FC7877"/>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o.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ED83-B2A1-4990-AF84-3B33A82C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Year 11 Mathematics Standard Topic Guidance: Financial Mathematics</vt:lpstr>
    </vt:vector>
  </TitlesOfParts>
  <Company>NSW Education Standards Authority</Company>
  <LinksUpToDate>false</LinksUpToDate>
  <CharactersWithSpaces>17953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Topic Guidance: Financial Mathematics</dc:title>
  <dc:creator>NSW Education Standards Authority</dc:creator>
  <cp:lastModifiedBy>Nikky Vanderhout</cp:lastModifiedBy>
  <cp:revision>22</cp:revision>
  <cp:lastPrinted>2017-10-19T01:42:00Z</cp:lastPrinted>
  <dcterms:created xsi:type="dcterms:W3CDTF">2017-03-29T22:17:00Z</dcterms:created>
  <dcterms:modified xsi:type="dcterms:W3CDTF">2017-10-19T21:47:00Z</dcterms:modified>
</cp:coreProperties>
</file>