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DD7655">
      <w:pPr>
        <w:pStyle w:val="Heading1"/>
      </w:pPr>
      <w:r w:rsidRPr="00B965E9">
        <w:t xml:space="preserve">Sample Scope and Sequence: </w:t>
      </w:r>
      <w:r w:rsidR="005A5797" w:rsidRPr="00B965E9">
        <w:t>English</w:t>
      </w:r>
      <w:r w:rsidR="003C1E54" w:rsidRPr="00B965E9">
        <w:t xml:space="preserve"> </w:t>
      </w:r>
      <w:r w:rsidR="00330DA3">
        <w:t>Standard</w:t>
      </w:r>
      <w:r w:rsidR="00543AD0">
        <w:t xml:space="preserve"> </w:t>
      </w:r>
      <w:r w:rsidR="003C1E54" w:rsidRPr="00B965E9">
        <w:t>– Year</w:t>
      </w:r>
      <w:r w:rsidR="00366C19">
        <w:t xml:space="preserve"> 12</w:t>
      </w:r>
      <w:r w:rsidR="002F4FCD">
        <w:t xml:space="preserve"> (</w:t>
      </w:r>
      <w:r w:rsidR="00FD5598">
        <w:t>B</w:t>
      </w:r>
      <w:r w:rsidR="002F4FCD">
        <w:t>)</w:t>
      </w:r>
    </w:p>
    <w:p w:rsidR="00AE656B" w:rsidRPr="0017198D" w:rsidRDefault="0017198D" w:rsidP="0017198D">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0"/>
        <w:gridCol w:w="1454"/>
        <w:gridCol w:w="17"/>
        <w:gridCol w:w="1462"/>
        <w:gridCol w:w="13"/>
        <w:gridCol w:w="1470"/>
        <w:gridCol w:w="14"/>
        <w:gridCol w:w="1486"/>
        <w:gridCol w:w="989"/>
        <w:gridCol w:w="496"/>
        <w:gridCol w:w="1488"/>
        <w:gridCol w:w="1483"/>
        <w:gridCol w:w="491"/>
        <w:gridCol w:w="992"/>
        <w:gridCol w:w="1484"/>
        <w:gridCol w:w="1501"/>
      </w:tblGrid>
      <w:tr w:rsidR="00653B40" w:rsidRPr="00653B40" w:rsidTr="00953B14">
        <w:trPr>
          <w:trHeight w:val="277"/>
          <w:tblHeader/>
        </w:trPr>
        <w:tc>
          <w:tcPr>
            <w:tcW w:w="560" w:type="dxa"/>
            <w:vMerge w:val="restart"/>
            <w:shd w:val="clear" w:color="auto" w:fill="auto"/>
            <w:tcMar>
              <w:top w:w="57" w:type="dxa"/>
              <w:left w:w="57" w:type="dxa"/>
              <w:bottom w:w="57" w:type="dxa"/>
              <w:right w:w="57" w:type="dxa"/>
            </w:tcMar>
            <w:textDirection w:val="btLr"/>
            <w:vAlign w:val="center"/>
          </w:tcPr>
          <w:p w:rsidR="005A5797" w:rsidRPr="00653B40" w:rsidRDefault="005A5797" w:rsidP="007D0B60">
            <w:pPr>
              <w:jc w:val="center"/>
              <w:rPr>
                <w:b/>
                <w:sz w:val="18"/>
                <w:szCs w:val="18"/>
              </w:rPr>
            </w:pPr>
            <w:r w:rsidRPr="00653B40">
              <w:rPr>
                <w:b/>
                <w:sz w:val="18"/>
                <w:szCs w:val="18"/>
              </w:rPr>
              <w:t>Term 4</w:t>
            </w:r>
          </w:p>
        </w:tc>
        <w:tc>
          <w:tcPr>
            <w:tcW w:w="1471"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1</w:t>
            </w:r>
          </w:p>
        </w:tc>
        <w:tc>
          <w:tcPr>
            <w:tcW w:w="1475"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2</w:t>
            </w:r>
          </w:p>
        </w:tc>
        <w:tc>
          <w:tcPr>
            <w:tcW w:w="1484"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3</w:t>
            </w:r>
          </w:p>
        </w:tc>
        <w:tc>
          <w:tcPr>
            <w:tcW w:w="1486"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4</w:t>
            </w:r>
          </w:p>
        </w:tc>
        <w:tc>
          <w:tcPr>
            <w:tcW w:w="1485" w:type="dxa"/>
            <w:gridSpan w:val="2"/>
            <w:tcMar>
              <w:top w:w="57" w:type="dxa"/>
              <w:left w:w="57" w:type="dxa"/>
              <w:bottom w:w="57" w:type="dxa"/>
              <w:right w:w="57" w:type="dxa"/>
            </w:tcMar>
          </w:tcPr>
          <w:p w:rsidR="005A5797" w:rsidRPr="00653B40" w:rsidRDefault="005A5797" w:rsidP="00A6042F">
            <w:pPr>
              <w:jc w:val="center"/>
              <w:rPr>
                <w:b/>
                <w:sz w:val="18"/>
                <w:szCs w:val="18"/>
                <w:highlight w:val="yellow"/>
              </w:rPr>
            </w:pPr>
            <w:r w:rsidRPr="00653B40">
              <w:rPr>
                <w:b/>
                <w:sz w:val="18"/>
                <w:szCs w:val="18"/>
              </w:rPr>
              <w:t>Week 5</w:t>
            </w:r>
          </w:p>
        </w:tc>
        <w:tc>
          <w:tcPr>
            <w:tcW w:w="1488"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6</w:t>
            </w:r>
          </w:p>
        </w:tc>
        <w:tc>
          <w:tcPr>
            <w:tcW w:w="1483"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7</w:t>
            </w:r>
          </w:p>
        </w:tc>
        <w:tc>
          <w:tcPr>
            <w:tcW w:w="1483"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8</w:t>
            </w:r>
          </w:p>
        </w:tc>
        <w:tc>
          <w:tcPr>
            <w:tcW w:w="1484"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9</w:t>
            </w:r>
          </w:p>
        </w:tc>
        <w:tc>
          <w:tcPr>
            <w:tcW w:w="1501"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10</w:t>
            </w:r>
          </w:p>
        </w:tc>
      </w:tr>
      <w:tr w:rsidR="0039350A" w:rsidRPr="00653B40" w:rsidTr="00953B14">
        <w:trPr>
          <w:cantSplit/>
          <w:trHeight w:val="569"/>
          <w:tblHeader/>
        </w:trPr>
        <w:tc>
          <w:tcPr>
            <w:tcW w:w="560" w:type="dxa"/>
            <w:vMerge/>
            <w:tcMar>
              <w:top w:w="57" w:type="dxa"/>
              <w:left w:w="57" w:type="dxa"/>
              <w:bottom w:w="57" w:type="dxa"/>
              <w:right w:w="57" w:type="dxa"/>
            </w:tcMar>
          </w:tcPr>
          <w:p w:rsidR="0039350A" w:rsidRPr="00653B40" w:rsidRDefault="0039350A" w:rsidP="00FF4292">
            <w:pPr>
              <w:rPr>
                <w:rFonts w:cs="Arial"/>
                <w:i/>
                <w:sz w:val="18"/>
                <w:szCs w:val="18"/>
              </w:rPr>
            </w:pPr>
          </w:p>
        </w:tc>
        <w:tc>
          <w:tcPr>
            <w:tcW w:w="11855" w:type="dxa"/>
            <w:gridSpan w:val="13"/>
            <w:tcMar>
              <w:top w:w="57" w:type="dxa"/>
              <w:left w:w="57" w:type="dxa"/>
              <w:bottom w:w="57" w:type="dxa"/>
              <w:right w:w="57" w:type="dxa"/>
            </w:tcMar>
          </w:tcPr>
          <w:p w:rsidR="0039350A" w:rsidRPr="00653B40" w:rsidRDefault="0039350A" w:rsidP="00FF4292">
            <w:pPr>
              <w:rPr>
                <w:rFonts w:cs="Arial"/>
                <w:b/>
                <w:i/>
                <w:sz w:val="18"/>
                <w:szCs w:val="18"/>
              </w:rPr>
            </w:pPr>
            <w:r w:rsidRPr="00653B40">
              <w:rPr>
                <w:rFonts w:cs="Arial"/>
                <w:b/>
                <w:i/>
                <w:sz w:val="18"/>
                <w:szCs w:val="18"/>
              </w:rPr>
              <w:t>Common Module: Texts and Human Experiences</w:t>
            </w:r>
            <w:r w:rsidR="00A06823" w:rsidRPr="00653B40">
              <w:rPr>
                <w:rFonts w:cs="Arial"/>
                <w:b/>
                <w:i/>
                <w:sz w:val="18"/>
                <w:szCs w:val="18"/>
              </w:rPr>
              <w:t xml:space="preserve"> (30 hours)</w:t>
            </w:r>
          </w:p>
          <w:p w:rsidR="0039350A" w:rsidRPr="00653B40" w:rsidRDefault="0039350A" w:rsidP="00653B40">
            <w:pPr>
              <w:rPr>
                <w:rFonts w:cs="Arial"/>
                <w:i/>
                <w:sz w:val="18"/>
                <w:szCs w:val="18"/>
              </w:rPr>
            </w:pPr>
            <w:r w:rsidRPr="00653B40">
              <w:rPr>
                <w:rFonts w:cs="Arial"/>
                <w:color w:val="000000"/>
                <w:sz w:val="18"/>
                <w:szCs w:val="18"/>
                <w:lang w:val="en"/>
              </w:rPr>
              <w:t xml:space="preserve">Students deepen their understanding of how texts represent individual and collective human experiences. </w:t>
            </w:r>
            <w:r w:rsidRPr="00653B40">
              <w:rPr>
                <w:rFonts w:cs="Arial"/>
                <w:vanish/>
                <w:color w:val="000000"/>
                <w:sz w:val="18"/>
                <w:szCs w:val="18"/>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85" w:type="dxa"/>
            <w:gridSpan w:val="2"/>
          </w:tcPr>
          <w:p w:rsidR="0039350A" w:rsidRPr="00653B40" w:rsidRDefault="00D35E25" w:rsidP="0039350A">
            <w:pPr>
              <w:rPr>
                <w:rFonts w:cs="Arial"/>
                <w:b/>
                <w:i/>
                <w:sz w:val="18"/>
                <w:szCs w:val="18"/>
              </w:rPr>
            </w:pPr>
            <w:r w:rsidRPr="00653B40">
              <w:rPr>
                <w:rFonts w:cs="Arial"/>
                <w:b/>
                <w:i/>
                <w:sz w:val="18"/>
                <w:szCs w:val="18"/>
              </w:rPr>
              <w:t xml:space="preserve">Module </w:t>
            </w:r>
            <w:r w:rsidR="004B26D0" w:rsidRPr="00653B40">
              <w:rPr>
                <w:rFonts w:cs="Arial"/>
                <w:b/>
                <w:i/>
                <w:sz w:val="18"/>
                <w:szCs w:val="18"/>
              </w:rPr>
              <w:t>B</w:t>
            </w:r>
            <w:r w:rsidRPr="00653B40">
              <w:rPr>
                <w:rFonts w:cs="Arial"/>
                <w:b/>
                <w:i/>
                <w:sz w:val="18"/>
                <w:szCs w:val="18"/>
              </w:rPr>
              <w:t xml:space="preserve">: </w:t>
            </w:r>
            <w:r w:rsidR="004B26D0" w:rsidRPr="00653B40">
              <w:rPr>
                <w:rFonts w:cs="Arial"/>
                <w:b/>
                <w:i/>
                <w:sz w:val="18"/>
                <w:szCs w:val="18"/>
              </w:rPr>
              <w:t>Close Study of text</w:t>
            </w:r>
            <w:r w:rsidR="00A06823" w:rsidRPr="00653B40">
              <w:rPr>
                <w:rFonts w:cs="Arial"/>
                <w:b/>
                <w:i/>
                <w:sz w:val="18"/>
                <w:szCs w:val="18"/>
              </w:rPr>
              <w:t xml:space="preserve"> (30 hours)</w:t>
            </w:r>
          </w:p>
        </w:tc>
      </w:tr>
      <w:tr w:rsidR="00653B40" w:rsidRPr="00653B40" w:rsidTr="00953B14">
        <w:trPr>
          <w:cantSplit/>
          <w:trHeight w:val="564"/>
          <w:tblHeader/>
        </w:trPr>
        <w:tc>
          <w:tcPr>
            <w:tcW w:w="560" w:type="dxa"/>
            <w:vMerge/>
            <w:tcMar>
              <w:top w:w="57" w:type="dxa"/>
              <w:left w:w="57" w:type="dxa"/>
              <w:bottom w:w="57" w:type="dxa"/>
              <w:right w:w="57" w:type="dxa"/>
            </w:tcMar>
          </w:tcPr>
          <w:p w:rsidR="00653B40" w:rsidRPr="00653B40" w:rsidRDefault="00653B40" w:rsidP="00FF4292">
            <w:pPr>
              <w:rPr>
                <w:rFonts w:cs="Arial"/>
                <w:sz w:val="18"/>
                <w:szCs w:val="18"/>
              </w:rPr>
            </w:pPr>
          </w:p>
        </w:tc>
        <w:tc>
          <w:tcPr>
            <w:tcW w:w="11855" w:type="dxa"/>
            <w:gridSpan w:val="13"/>
            <w:tcMar>
              <w:top w:w="57" w:type="dxa"/>
              <w:left w:w="57" w:type="dxa"/>
              <w:bottom w:w="57" w:type="dxa"/>
              <w:right w:w="57" w:type="dxa"/>
            </w:tcMar>
          </w:tcPr>
          <w:p w:rsidR="00653B40" w:rsidRPr="00653B40" w:rsidRDefault="00653B40" w:rsidP="00864B2C">
            <w:pPr>
              <w:rPr>
                <w:rFonts w:cs="Arial"/>
                <w:i/>
                <w:sz w:val="18"/>
                <w:szCs w:val="18"/>
              </w:rPr>
            </w:pPr>
            <w:r w:rsidRPr="00653B40">
              <w:rPr>
                <w:rFonts w:cs="Arial"/>
                <w:i/>
                <w:sz w:val="18"/>
                <w:szCs w:val="18"/>
              </w:rPr>
              <w:t xml:space="preserve">Prescribed text: </w:t>
            </w:r>
            <w:r w:rsidRPr="00653B40">
              <w:rPr>
                <w:rFonts w:cs="Arial"/>
                <w:sz w:val="18"/>
                <w:szCs w:val="18"/>
              </w:rPr>
              <w:t>Drama</w:t>
            </w:r>
            <w:r w:rsidR="00864B2C">
              <w:rPr>
                <w:rFonts w:cs="Arial"/>
                <w:sz w:val="18"/>
                <w:szCs w:val="18"/>
              </w:rPr>
              <w:t xml:space="preserve"> AND s</w:t>
            </w:r>
            <w:r w:rsidRPr="00653B40">
              <w:rPr>
                <w:rFonts w:cs="Arial"/>
                <w:sz w:val="18"/>
                <w:szCs w:val="18"/>
              </w:rPr>
              <w:t>tudents select ONE related text from any form</w:t>
            </w:r>
          </w:p>
        </w:tc>
        <w:tc>
          <w:tcPr>
            <w:tcW w:w="2985" w:type="dxa"/>
            <w:gridSpan w:val="2"/>
          </w:tcPr>
          <w:p w:rsidR="00653B40" w:rsidRPr="00653B40" w:rsidRDefault="00653B40" w:rsidP="0092019E">
            <w:pPr>
              <w:rPr>
                <w:rFonts w:cs="Arial"/>
                <w:sz w:val="18"/>
                <w:szCs w:val="18"/>
              </w:rPr>
            </w:pPr>
            <w:r w:rsidRPr="00653B40">
              <w:rPr>
                <w:rFonts w:cs="Arial"/>
                <w:i/>
                <w:sz w:val="18"/>
                <w:szCs w:val="18"/>
              </w:rPr>
              <w:t xml:space="preserve">Prescribed text: </w:t>
            </w:r>
            <w:r w:rsidRPr="00653B40">
              <w:rPr>
                <w:rFonts w:cs="Arial"/>
                <w:sz w:val="18"/>
                <w:szCs w:val="18"/>
              </w:rPr>
              <w:t>Media</w:t>
            </w:r>
          </w:p>
        </w:tc>
      </w:tr>
      <w:tr w:rsidR="000C6F18" w:rsidRPr="00653B40" w:rsidTr="00953B14">
        <w:trPr>
          <w:cantSplit/>
          <w:trHeight w:val="221"/>
          <w:tblHeader/>
        </w:trPr>
        <w:tc>
          <w:tcPr>
            <w:tcW w:w="560" w:type="dxa"/>
            <w:vMerge/>
            <w:tcMar>
              <w:top w:w="57" w:type="dxa"/>
              <w:left w:w="57" w:type="dxa"/>
              <w:bottom w:w="57" w:type="dxa"/>
              <w:right w:w="57" w:type="dxa"/>
            </w:tcMar>
          </w:tcPr>
          <w:p w:rsidR="000C6F18" w:rsidRPr="00653B40" w:rsidRDefault="000C6F18" w:rsidP="00FF4292">
            <w:pPr>
              <w:rPr>
                <w:rFonts w:cs="Arial"/>
                <w:i/>
                <w:sz w:val="18"/>
                <w:szCs w:val="18"/>
              </w:rPr>
            </w:pPr>
          </w:p>
        </w:tc>
        <w:tc>
          <w:tcPr>
            <w:tcW w:w="11855" w:type="dxa"/>
            <w:gridSpan w:val="13"/>
            <w:tcMar>
              <w:top w:w="57" w:type="dxa"/>
              <w:left w:w="57" w:type="dxa"/>
              <w:bottom w:w="57" w:type="dxa"/>
              <w:right w:w="57" w:type="dxa"/>
            </w:tcMar>
          </w:tcPr>
          <w:p w:rsidR="000C6F18" w:rsidRPr="00653B40" w:rsidRDefault="000C6F18" w:rsidP="004B26D0">
            <w:pPr>
              <w:rPr>
                <w:rFonts w:cs="Arial"/>
                <w:i/>
                <w:sz w:val="18"/>
                <w:szCs w:val="18"/>
              </w:rPr>
            </w:pPr>
            <w:r w:rsidRPr="00653B40">
              <w:rPr>
                <w:i/>
                <w:sz w:val="18"/>
                <w:szCs w:val="18"/>
              </w:rPr>
              <w:t>Outcomes:</w:t>
            </w:r>
            <w:r w:rsidR="00000664" w:rsidRPr="00653B40">
              <w:rPr>
                <w:i/>
                <w:sz w:val="18"/>
                <w:szCs w:val="18"/>
              </w:rPr>
              <w:t xml:space="preserve"> </w:t>
            </w:r>
            <w:r w:rsidR="004B26D0" w:rsidRPr="00653B40">
              <w:rPr>
                <w:sz w:val="18"/>
                <w:szCs w:val="18"/>
              </w:rPr>
              <w:t>EN12-1, EN12-2, EN12-3, EN12-4, EN12-5, EN12-6, EN12-7, EN12-8, EN12-9</w:t>
            </w:r>
          </w:p>
        </w:tc>
        <w:tc>
          <w:tcPr>
            <w:tcW w:w="2985" w:type="dxa"/>
            <w:gridSpan w:val="2"/>
          </w:tcPr>
          <w:p w:rsidR="00AE656B" w:rsidRPr="00653B40" w:rsidRDefault="00AE656B" w:rsidP="00653B40">
            <w:pPr>
              <w:spacing w:after="200" w:line="276" w:lineRule="auto"/>
              <w:rPr>
                <w:rFonts w:cs="Arial"/>
                <w:sz w:val="18"/>
                <w:szCs w:val="18"/>
              </w:rPr>
            </w:pPr>
          </w:p>
        </w:tc>
      </w:tr>
      <w:tr w:rsidR="005A5797" w:rsidRPr="00653B40" w:rsidTr="00953B14">
        <w:trPr>
          <w:tblHeader/>
        </w:trPr>
        <w:tc>
          <w:tcPr>
            <w:tcW w:w="560" w:type="dxa"/>
            <w:vMerge w:val="restart"/>
            <w:shd w:val="clear" w:color="auto" w:fill="auto"/>
            <w:tcMar>
              <w:top w:w="57" w:type="dxa"/>
              <w:left w:w="57" w:type="dxa"/>
              <w:bottom w:w="57" w:type="dxa"/>
              <w:right w:w="57" w:type="dxa"/>
            </w:tcMar>
            <w:textDirection w:val="btLr"/>
            <w:vAlign w:val="center"/>
          </w:tcPr>
          <w:p w:rsidR="005A5797" w:rsidRPr="00653B40" w:rsidRDefault="005A5797" w:rsidP="007D0B60">
            <w:pPr>
              <w:jc w:val="center"/>
              <w:rPr>
                <w:b/>
                <w:sz w:val="18"/>
                <w:szCs w:val="18"/>
              </w:rPr>
            </w:pPr>
            <w:r w:rsidRPr="00653B40">
              <w:rPr>
                <w:b/>
                <w:sz w:val="18"/>
                <w:szCs w:val="18"/>
              </w:rPr>
              <w:t>Term 1</w:t>
            </w:r>
          </w:p>
        </w:tc>
        <w:tc>
          <w:tcPr>
            <w:tcW w:w="1454"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1</w:t>
            </w:r>
          </w:p>
        </w:tc>
        <w:tc>
          <w:tcPr>
            <w:tcW w:w="1479"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2</w:t>
            </w:r>
          </w:p>
        </w:tc>
        <w:tc>
          <w:tcPr>
            <w:tcW w:w="1483"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3</w:t>
            </w:r>
          </w:p>
        </w:tc>
        <w:tc>
          <w:tcPr>
            <w:tcW w:w="1500"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4</w:t>
            </w:r>
          </w:p>
        </w:tc>
        <w:tc>
          <w:tcPr>
            <w:tcW w:w="1485" w:type="dxa"/>
            <w:gridSpan w:val="2"/>
            <w:tcMar>
              <w:top w:w="57" w:type="dxa"/>
              <w:left w:w="57" w:type="dxa"/>
              <w:bottom w:w="57" w:type="dxa"/>
              <w:right w:w="57" w:type="dxa"/>
            </w:tcMar>
          </w:tcPr>
          <w:p w:rsidR="005A5797" w:rsidRPr="00653B40" w:rsidRDefault="005A5797" w:rsidP="00A6042F">
            <w:pPr>
              <w:jc w:val="center"/>
              <w:rPr>
                <w:b/>
                <w:sz w:val="18"/>
                <w:szCs w:val="18"/>
                <w:highlight w:val="yellow"/>
              </w:rPr>
            </w:pPr>
            <w:r w:rsidRPr="00653B40">
              <w:rPr>
                <w:b/>
                <w:sz w:val="18"/>
                <w:szCs w:val="18"/>
              </w:rPr>
              <w:t>Week 5</w:t>
            </w:r>
          </w:p>
        </w:tc>
        <w:tc>
          <w:tcPr>
            <w:tcW w:w="1488"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6</w:t>
            </w:r>
          </w:p>
        </w:tc>
        <w:tc>
          <w:tcPr>
            <w:tcW w:w="1483"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7</w:t>
            </w:r>
          </w:p>
        </w:tc>
        <w:tc>
          <w:tcPr>
            <w:tcW w:w="1483"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8</w:t>
            </w:r>
          </w:p>
        </w:tc>
        <w:tc>
          <w:tcPr>
            <w:tcW w:w="1484"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9</w:t>
            </w:r>
          </w:p>
        </w:tc>
        <w:tc>
          <w:tcPr>
            <w:tcW w:w="1501"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10</w:t>
            </w:r>
          </w:p>
        </w:tc>
      </w:tr>
      <w:tr w:rsidR="00D35E25" w:rsidRPr="00653B40" w:rsidTr="00953B14">
        <w:trPr>
          <w:cantSplit/>
          <w:trHeight w:val="814"/>
          <w:tblHeader/>
        </w:trPr>
        <w:tc>
          <w:tcPr>
            <w:tcW w:w="560" w:type="dxa"/>
            <w:vMerge/>
            <w:tcMar>
              <w:top w:w="57" w:type="dxa"/>
              <w:left w:w="57" w:type="dxa"/>
              <w:bottom w:w="57" w:type="dxa"/>
              <w:right w:w="57" w:type="dxa"/>
            </w:tcMar>
          </w:tcPr>
          <w:p w:rsidR="00D35E25" w:rsidRPr="00653B40" w:rsidRDefault="00D35E25" w:rsidP="00FF4292">
            <w:pPr>
              <w:rPr>
                <w:rFonts w:cs="Arial"/>
                <w:i/>
                <w:sz w:val="18"/>
                <w:szCs w:val="18"/>
              </w:rPr>
            </w:pPr>
          </w:p>
        </w:tc>
        <w:tc>
          <w:tcPr>
            <w:tcW w:w="8889" w:type="dxa"/>
            <w:gridSpan w:val="10"/>
            <w:tcMar>
              <w:top w:w="57" w:type="dxa"/>
              <w:left w:w="57" w:type="dxa"/>
              <w:bottom w:w="57" w:type="dxa"/>
              <w:right w:w="57" w:type="dxa"/>
            </w:tcMar>
          </w:tcPr>
          <w:p w:rsidR="00D35E25" w:rsidRPr="00653B40" w:rsidRDefault="00D35E25" w:rsidP="00D35E25">
            <w:pPr>
              <w:rPr>
                <w:rFonts w:cs="Arial"/>
                <w:b/>
                <w:i/>
                <w:sz w:val="18"/>
                <w:szCs w:val="18"/>
              </w:rPr>
            </w:pPr>
            <w:r w:rsidRPr="00653B40">
              <w:rPr>
                <w:rFonts w:cs="Arial"/>
                <w:b/>
                <w:i/>
                <w:sz w:val="18"/>
                <w:szCs w:val="18"/>
              </w:rPr>
              <w:t xml:space="preserve">Module </w:t>
            </w:r>
            <w:r w:rsidR="004B26D0" w:rsidRPr="00653B40">
              <w:rPr>
                <w:rFonts w:cs="Arial"/>
                <w:b/>
                <w:i/>
                <w:sz w:val="18"/>
                <w:szCs w:val="18"/>
              </w:rPr>
              <w:t>B: Close Study of Literature</w:t>
            </w:r>
            <w:r w:rsidR="000A61D8" w:rsidRPr="00653B40">
              <w:rPr>
                <w:rFonts w:cs="Arial"/>
                <w:b/>
                <w:i/>
                <w:sz w:val="18"/>
                <w:szCs w:val="18"/>
              </w:rPr>
              <w:t xml:space="preserve"> (30 hours) </w:t>
            </w:r>
          </w:p>
          <w:p w:rsidR="00D35E25" w:rsidRPr="00653B40" w:rsidRDefault="004B26D0" w:rsidP="00653B40">
            <w:pPr>
              <w:rPr>
                <w:rFonts w:cs="Arial"/>
                <w:sz w:val="18"/>
                <w:szCs w:val="18"/>
              </w:rPr>
            </w:pPr>
            <w:r w:rsidRPr="00653B40">
              <w:rPr>
                <w:rFonts w:cs="Arial"/>
                <w:sz w:val="18"/>
                <w:szCs w:val="18"/>
              </w:rPr>
              <w:t xml:space="preserve">Students engage in the extensive exploration and interpretation of the text and the ways composers portray people, ideas, settings and situations in texts. </w:t>
            </w:r>
          </w:p>
        </w:tc>
        <w:tc>
          <w:tcPr>
            <w:tcW w:w="5951" w:type="dxa"/>
            <w:gridSpan w:val="5"/>
          </w:tcPr>
          <w:p w:rsidR="00D35E25" w:rsidRPr="00653B40" w:rsidRDefault="00000664" w:rsidP="002A0A3D">
            <w:pPr>
              <w:rPr>
                <w:rFonts w:cs="Arial"/>
                <w:b/>
                <w:i/>
                <w:sz w:val="18"/>
                <w:szCs w:val="18"/>
              </w:rPr>
            </w:pPr>
            <w:r w:rsidRPr="00653B40">
              <w:rPr>
                <w:rFonts w:cs="Arial"/>
                <w:b/>
                <w:i/>
                <w:sz w:val="18"/>
                <w:szCs w:val="18"/>
              </w:rPr>
              <w:t>Module C: The Craft of Writing</w:t>
            </w:r>
            <w:r w:rsidR="00A06823" w:rsidRPr="00653B40">
              <w:rPr>
                <w:rFonts w:cs="Arial"/>
                <w:b/>
                <w:i/>
                <w:sz w:val="18"/>
                <w:szCs w:val="18"/>
              </w:rPr>
              <w:t xml:space="preserve"> (30 hours)</w:t>
            </w:r>
          </w:p>
          <w:p w:rsidR="00000664" w:rsidRPr="00653B40" w:rsidRDefault="00000664" w:rsidP="00653B40">
            <w:pPr>
              <w:rPr>
                <w:rFonts w:cs="Arial"/>
                <w:sz w:val="18"/>
                <w:szCs w:val="18"/>
              </w:rPr>
            </w:pPr>
            <w:r w:rsidRPr="00653B40">
              <w:rPr>
                <w:sz w:val="18"/>
                <w:szCs w:val="18"/>
              </w:rPr>
              <w:t xml:space="preserve">Students strengthen and extend their knowledge, skills and confidence as accomplished writers. </w:t>
            </w:r>
          </w:p>
        </w:tc>
      </w:tr>
      <w:tr w:rsidR="00653B40" w:rsidRPr="00653B40" w:rsidTr="00953B14">
        <w:trPr>
          <w:cantSplit/>
          <w:tblHeader/>
        </w:trPr>
        <w:tc>
          <w:tcPr>
            <w:tcW w:w="560" w:type="dxa"/>
            <w:vMerge/>
            <w:tcMar>
              <w:top w:w="57" w:type="dxa"/>
              <w:left w:w="57" w:type="dxa"/>
              <w:bottom w:w="57" w:type="dxa"/>
              <w:right w:w="57" w:type="dxa"/>
            </w:tcMar>
          </w:tcPr>
          <w:p w:rsidR="00653B40" w:rsidRPr="00653B40" w:rsidRDefault="00653B40" w:rsidP="00FF4292">
            <w:pPr>
              <w:rPr>
                <w:rFonts w:cs="Arial"/>
                <w:sz w:val="18"/>
                <w:szCs w:val="18"/>
              </w:rPr>
            </w:pPr>
          </w:p>
        </w:tc>
        <w:tc>
          <w:tcPr>
            <w:tcW w:w="8889" w:type="dxa"/>
            <w:gridSpan w:val="10"/>
            <w:tcMar>
              <w:top w:w="57" w:type="dxa"/>
              <w:left w:w="57" w:type="dxa"/>
              <w:bottom w:w="57" w:type="dxa"/>
              <w:right w:w="57" w:type="dxa"/>
            </w:tcMar>
          </w:tcPr>
          <w:p w:rsidR="00653B40" w:rsidRPr="00653B40" w:rsidRDefault="00653B40" w:rsidP="004B26D0">
            <w:pPr>
              <w:rPr>
                <w:rFonts w:cs="Arial"/>
                <w:i/>
                <w:sz w:val="18"/>
                <w:szCs w:val="18"/>
              </w:rPr>
            </w:pPr>
            <w:r w:rsidRPr="00653B40">
              <w:rPr>
                <w:rFonts w:cs="Arial"/>
                <w:i/>
                <w:sz w:val="18"/>
                <w:szCs w:val="18"/>
              </w:rPr>
              <w:t>Prescribed text:</w:t>
            </w:r>
            <w:r w:rsidRPr="00653B40">
              <w:rPr>
                <w:rFonts w:cs="Arial"/>
                <w:sz w:val="18"/>
                <w:szCs w:val="18"/>
              </w:rPr>
              <w:t xml:space="preserve"> Media</w:t>
            </w:r>
          </w:p>
        </w:tc>
        <w:tc>
          <w:tcPr>
            <w:tcW w:w="5951" w:type="dxa"/>
            <w:gridSpan w:val="5"/>
          </w:tcPr>
          <w:p w:rsidR="00653B40" w:rsidRPr="00653B40" w:rsidRDefault="00653B40" w:rsidP="004B26D0">
            <w:pPr>
              <w:rPr>
                <w:rFonts w:cs="Arial"/>
                <w:i/>
                <w:sz w:val="18"/>
                <w:szCs w:val="18"/>
              </w:rPr>
            </w:pPr>
            <w:r w:rsidRPr="00653B40">
              <w:rPr>
                <w:rFonts w:cs="Arial"/>
                <w:i/>
                <w:sz w:val="18"/>
                <w:szCs w:val="18"/>
              </w:rPr>
              <w:t xml:space="preserve">Prescribed text 1: </w:t>
            </w:r>
            <w:r w:rsidRPr="00653B40">
              <w:rPr>
                <w:rFonts w:cs="Arial"/>
                <w:sz w:val="18"/>
                <w:szCs w:val="18"/>
              </w:rPr>
              <w:t>Prose fiction</w:t>
            </w:r>
            <w:r w:rsidRPr="00653B40">
              <w:rPr>
                <w:rFonts w:cs="Arial"/>
                <w:i/>
                <w:sz w:val="18"/>
                <w:szCs w:val="18"/>
              </w:rPr>
              <w:t xml:space="preserve"> Revisit: </w:t>
            </w:r>
            <w:r w:rsidR="00B91F93">
              <w:rPr>
                <w:rFonts w:cs="Arial"/>
                <w:sz w:val="18"/>
                <w:szCs w:val="18"/>
              </w:rPr>
              <w:t xml:space="preserve">Common module – </w:t>
            </w:r>
            <w:r w:rsidRPr="00653B40">
              <w:rPr>
                <w:rFonts w:cs="Arial"/>
                <w:sz w:val="18"/>
                <w:szCs w:val="18"/>
              </w:rPr>
              <w:t>Drama</w:t>
            </w:r>
          </w:p>
        </w:tc>
      </w:tr>
      <w:tr w:rsidR="00D35E25" w:rsidRPr="00653B40" w:rsidTr="00953B14">
        <w:trPr>
          <w:cantSplit/>
          <w:tblHeader/>
        </w:trPr>
        <w:tc>
          <w:tcPr>
            <w:tcW w:w="560" w:type="dxa"/>
            <w:vMerge/>
            <w:tcMar>
              <w:top w:w="57" w:type="dxa"/>
              <w:left w:w="57" w:type="dxa"/>
              <w:bottom w:w="57" w:type="dxa"/>
              <w:right w:w="57" w:type="dxa"/>
            </w:tcMar>
          </w:tcPr>
          <w:p w:rsidR="00D35E25" w:rsidRPr="00653B40" w:rsidRDefault="00D35E25" w:rsidP="00FF4292">
            <w:pPr>
              <w:rPr>
                <w:rFonts w:cs="Arial"/>
                <w:i/>
                <w:sz w:val="18"/>
                <w:szCs w:val="18"/>
              </w:rPr>
            </w:pPr>
          </w:p>
        </w:tc>
        <w:tc>
          <w:tcPr>
            <w:tcW w:w="8889" w:type="dxa"/>
            <w:gridSpan w:val="10"/>
            <w:tcMar>
              <w:top w:w="57" w:type="dxa"/>
              <w:left w:w="57" w:type="dxa"/>
              <w:bottom w:w="57" w:type="dxa"/>
              <w:right w:w="57" w:type="dxa"/>
            </w:tcMar>
          </w:tcPr>
          <w:p w:rsidR="00D35E25" w:rsidRPr="00653B40" w:rsidRDefault="002A0A3D" w:rsidP="004B26D0">
            <w:pPr>
              <w:rPr>
                <w:rFonts w:cs="Arial"/>
                <w:i/>
                <w:sz w:val="18"/>
                <w:szCs w:val="18"/>
              </w:rPr>
            </w:pPr>
            <w:r w:rsidRPr="00653B40">
              <w:rPr>
                <w:rFonts w:cs="Arial"/>
                <w:i/>
                <w:sz w:val="18"/>
                <w:szCs w:val="18"/>
              </w:rPr>
              <w:t>Outcomes:</w:t>
            </w:r>
            <w:r w:rsidR="00181D66" w:rsidRPr="00653B40">
              <w:rPr>
                <w:rFonts w:cs="Arial"/>
                <w:i/>
                <w:sz w:val="18"/>
                <w:szCs w:val="18"/>
              </w:rPr>
              <w:t xml:space="preserve"> </w:t>
            </w:r>
            <w:r w:rsidR="004B26D0" w:rsidRPr="00653B40">
              <w:rPr>
                <w:sz w:val="18"/>
                <w:szCs w:val="18"/>
              </w:rPr>
              <w:t>EN12-1, EN12-3, EN12-5, EN12-7, EN12-8</w:t>
            </w:r>
          </w:p>
        </w:tc>
        <w:tc>
          <w:tcPr>
            <w:tcW w:w="5951" w:type="dxa"/>
            <w:gridSpan w:val="5"/>
          </w:tcPr>
          <w:p w:rsidR="00AE656B" w:rsidRPr="00653B40" w:rsidRDefault="005225F6" w:rsidP="00A149E0">
            <w:pPr>
              <w:rPr>
                <w:sz w:val="18"/>
                <w:szCs w:val="18"/>
              </w:rPr>
            </w:pPr>
            <w:r w:rsidRPr="00653B40">
              <w:rPr>
                <w:i/>
                <w:sz w:val="18"/>
                <w:szCs w:val="18"/>
              </w:rPr>
              <w:t>Outcomes:</w:t>
            </w:r>
            <w:r w:rsidRPr="00653B40">
              <w:rPr>
                <w:sz w:val="18"/>
                <w:szCs w:val="18"/>
              </w:rPr>
              <w:t xml:space="preserve"> </w:t>
            </w:r>
            <w:r w:rsidR="00A149E0" w:rsidRPr="00653B40">
              <w:rPr>
                <w:sz w:val="18"/>
                <w:szCs w:val="18"/>
              </w:rPr>
              <w:t>EN</w:t>
            </w:r>
            <w:r w:rsidR="00000664" w:rsidRPr="00653B40">
              <w:rPr>
                <w:sz w:val="18"/>
                <w:szCs w:val="18"/>
              </w:rPr>
              <w:t xml:space="preserve">12-1, </w:t>
            </w:r>
            <w:r w:rsidR="00056F79" w:rsidRPr="00653B40">
              <w:rPr>
                <w:sz w:val="18"/>
                <w:szCs w:val="18"/>
              </w:rPr>
              <w:t xml:space="preserve">EN12-2, </w:t>
            </w:r>
            <w:r w:rsidR="00000664" w:rsidRPr="00653B40">
              <w:rPr>
                <w:sz w:val="18"/>
                <w:szCs w:val="18"/>
              </w:rPr>
              <w:t>E</w:t>
            </w:r>
            <w:r w:rsidR="00A149E0" w:rsidRPr="00653B40">
              <w:rPr>
                <w:sz w:val="18"/>
                <w:szCs w:val="18"/>
              </w:rPr>
              <w:t>N</w:t>
            </w:r>
            <w:r w:rsidR="00000664" w:rsidRPr="00653B40">
              <w:rPr>
                <w:sz w:val="18"/>
                <w:szCs w:val="18"/>
              </w:rPr>
              <w:t>12-3, E</w:t>
            </w:r>
            <w:r w:rsidR="00A149E0" w:rsidRPr="00653B40">
              <w:rPr>
                <w:sz w:val="18"/>
                <w:szCs w:val="18"/>
              </w:rPr>
              <w:t>N</w:t>
            </w:r>
            <w:r w:rsidR="00000664" w:rsidRPr="00653B40">
              <w:rPr>
                <w:sz w:val="18"/>
                <w:szCs w:val="18"/>
              </w:rPr>
              <w:t>12-4, E</w:t>
            </w:r>
            <w:r w:rsidR="00A149E0" w:rsidRPr="00653B40">
              <w:rPr>
                <w:sz w:val="18"/>
                <w:szCs w:val="18"/>
              </w:rPr>
              <w:t>N</w:t>
            </w:r>
            <w:r w:rsidR="00000664" w:rsidRPr="00653B40">
              <w:rPr>
                <w:sz w:val="18"/>
                <w:szCs w:val="18"/>
              </w:rPr>
              <w:t xml:space="preserve">12-5, </w:t>
            </w:r>
            <w:r w:rsidR="00A149E0" w:rsidRPr="00653B40">
              <w:rPr>
                <w:sz w:val="18"/>
                <w:szCs w:val="18"/>
              </w:rPr>
              <w:t xml:space="preserve">EN12-6, </w:t>
            </w:r>
            <w:r w:rsidR="00B91F93">
              <w:rPr>
                <w:sz w:val="18"/>
                <w:szCs w:val="18"/>
              </w:rPr>
              <w:br/>
            </w:r>
            <w:r w:rsidR="00000664" w:rsidRPr="00653B40">
              <w:rPr>
                <w:sz w:val="18"/>
                <w:szCs w:val="18"/>
              </w:rPr>
              <w:t>E</w:t>
            </w:r>
            <w:r w:rsidR="00A149E0" w:rsidRPr="00653B40">
              <w:rPr>
                <w:sz w:val="18"/>
                <w:szCs w:val="18"/>
              </w:rPr>
              <w:t>N</w:t>
            </w:r>
            <w:r w:rsidR="00000664" w:rsidRPr="00653B40">
              <w:rPr>
                <w:sz w:val="18"/>
                <w:szCs w:val="18"/>
              </w:rPr>
              <w:t xml:space="preserve">12-7, </w:t>
            </w:r>
            <w:r w:rsidR="00A149E0" w:rsidRPr="00653B40">
              <w:rPr>
                <w:sz w:val="18"/>
                <w:szCs w:val="18"/>
              </w:rPr>
              <w:t xml:space="preserve">EN12-8, </w:t>
            </w:r>
            <w:r w:rsidR="00000664" w:rsidRPr="00653B40">
              <w:rPr>
                <w:sz w:val="18"/>
                <w:szCs w:val="18"/>
              </w:rPr>
              <w:t>E</w:t>
            </w:r>
            <w:r w:rsidR="00A149E0" w:rsidRPr="00653B40">
              <w:rPr>
                <w:sz w:val="18"/>
                <w:szCs w:val="18"/>
              </w:rPr>
              <w:t>N</w:t>
            </w:r>
            <w:r w:rsidR="00000664" w:rsidRPr="00653B40">
              <w:rPr>
                <w:sz w:val="18"/>
                <w:szCs w:val="18"/>
              </w:rPr>
              <w:t>12-9</w:t>
            </w:r>
          </w:p>
        </w:tc>
      </w:tr>
      <w:tr w:rsidR="005A5797" w:rsidRPr="00653B40" w:rsidTr="00953B14">
        <w:trPr>
          <w:tblHeader/>
        </w:trPr>
        <w:tc>
          <w:tcPr>
            <w:tcW w:w="560" w:type="dxa"/>
            <w:vMerge w:val="restart"/>
            <w:shd w:val="clear" w:color="auto" w:fill="auto"/>
            <w:tcMar>
              <w:top w:w="57" w:type="dxa"/>
              <w:left w:w="57" w:type="dxa"/>
              <w:bottom w:w="57" w:type="dxa"/>
              <w:right w:w="57" w:type="dxa"/>
            </w:tcMar>
            <w:textDirection w:val="btLr"/>
            <w:vAlign w:val="center"/>
          </w:tcPr>
          <w:p w:rsidR="005A5797" w:rsidRPr="00653B40" w:rsidRDefault="005A5797" w:rsidP="007D0B60">
            <w:pPr>
              <w:jc w:val="center"/>
              <w:rPr>
                <w:b/>
                <w:sz w:val="18"/>
                <w:szCs w:val="18"/>
              </w:rPr>
            </w:pPr>
            <w:r w:rsidRPr="00653B40">
              <w:rPr>
                <w:b/>
                <w:sz w:val="18"/>
                <w:szCs w:val="18"/>
              </w:rPr>
              <w:t>Term 2</w:t>
            </w:r>
          </w:p>
        </w:tc>
        <w:tc>
          <w:tcPr>
            <w:tcW w:w="1454"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1</w:t>
            </w:r>
          </w:p>
        </w:tc>
        <w:tc>
          <w:tcPr>
            <w:tcW w:w="1492" w:type="dxa"/>
            <w:gridSpan w:val="3"/>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2</w:t>
            </w:r>
          </w:p>
        </w:tc>
        <w:tc>
          <w:tcPr>
            <w:tcW w:w="1484"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3</w:t>
            </w:r>
          </w:p>
        </w:tc>
        <w:tc>
          <w:tcPr>
            <w:tcW w:w="1486"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4</w:t>
            </w:r>
          </w:p>
        </w:tc>
        <w:tc>
          <w:tcPr>
            <w:tcW w:w="1485" w:type="dxa"/>
            <w:gridSpan w:val="2"/>
            <w:tcMar>
              <w:top w:w="57" w:type="dxa"/>
              <w:left w:w="57" w:type="dxa"/>
              <w:bottom w:w="57" w:type="dxa"/>
              <w:right w:w="57" w:type="dxa"/>
            </w:tcMar>
          </w:tcPr>
          <w:p w:rsidR="005A5797" w:rsidRPr="00653B40" w:rsidRDefault="00912C91" w:rsidP="00912C91">
            <w:pPr>
              <w:jc w:val="center"/>
              <w:rPr>
                <w:b/>
                <w:sz w:val="18"/>
                <w:szCs w:val="18"/>
                <w:highlight w:val="yellow"/>
              </w:rPr>
            </w:pPr>
            <w:r w:rsidRPr="00653B40">
              <w:rPr>
                <w:b/>
                <w:sz w:val="18"/>
                <w:szCs w:val="18"/>
              </w:rPr>
              <w:t>Week 5</w:t>
            </w:r>
          </w:p>
        </w:tc>
        <w:tc>
          <w:tcPr>
            <w:tcW w:w="1488"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6</w:t>
            </w:r>
          </w:p>
        </w:tc>
        <w:tc>
          <w:tcPr>
            <w:tcW w:w="1483"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7</w:t>
            </w:r>
          </w:p>
        </w:tc>
        <w:tc>
          <w:tcPr>
            <w:tcW w:w="1483" w:type="dxa"/>
            <w:gridSpan w:val="2"/>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8</w:t>
            </w:r>
          </w:p>
        </w:tc>
        <w:tc>
          <w:tcPr>
            <w:tcW w:w="1484"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9</w:t>
            </w:r>
          </w:p>
        </w:tc>
        <w:tc>
          <w:tcPr>
            <w:tcW w:w="1501" w:type="dxa"/>
            <w:tcMar>
              <w:top w:w="57" w:type="dxa"/>
              <w:left w:w="57" w:type="dxa"/>
              <w:bottom w:w="57" w:type="dxa"/>
              <w:right w:w="57" w:type="dxa"/>
            </w:tcMar>
          </w:tcPr>
          <w:p w:rsidR="005A5797" w:rsidRPr="00653B40" w:rsidRDefault="005A5797" w:rsidP="00A6042F">
            <w:pPr>
              <w:jc w:val="center"/>
              <w:rPr>
                <w:b/>
                <w:sz w:val="18"/>
                <w:szCs w:val="18"/>
              </w:rPr>
            </w:pPr>
            <w:r w:rsidRPr="00653B40">
              <w:rPr>
                <w:b/>
                <w:sz w:val="18"/>
                <w:szCs w:val="18"/>
              </w:rPr>
              <w:t>Week 10</w:t>
            </w:r>
          </w:p>
        </w:tc>
      </w:tr>
      <w:tr w:rsidR="00912C91" w:rsidRPr="00653B40" w:rsidTr="00953B14">
        <w:trPr>
          <w:cantSplit/>
          <w:tblHeader/>
        </w:trPr>
        <w:tc>
          <w:tcPr>
            <w:tcW w:w="560" w:type="dxa"/>
            <w:vMerge/>
            <w:tcMar>
              <w:top w:w="57" w:type="dxa"/>
              <w:left w:w="57" w:type="dxa"/>
              <w:bottom w:w="57" w:type="dxa"/>
              <w:right w:w="57" w:type="dxa"/>
            </w:tcMar>
          </w:tcPr>
          <w:p w:rsidR="00912C91" w:rsidRPr="00653B40" w:rsidRDefault="00912C91" w:rsidP="00000664">
            <w:pPr>
              <w:rPr>
                <w:rFonts w:cs="Arial"/>
                <w:i/>
                <w:sz w:val="18"/>
                <w:szCs w:val="18"/>
              </w:rPr>
            </w:pPr>
          </w:p>
        </w:tc>
        <w:tc>
          <w:tcPr>
            <w:tcW w:w="5916" w:type="dxa"/>
            <w:gridSpan w:val="7"/>
            <w:tcMar>
              <w:top w:w="57" w:type="dxa"/>
              <w:left w:w="57" w:type="dxa"/>
              <w:bottom w:w="57" w:type="dxa"/>
              <w:right w:w="57" w:type="dxa"/>
            </w:tcMar>
          </w:tcPr>
          <w:p w:rsidR="00912C91" w:rsidRPr="00653B40" w:rsidRDefault="00912C91" w:rsidP="00000664">
            <w:pPr>
              <w:rPr>
                <w:rFonts w:cs="Arial"/>
                <w:b/>
                <w:i/>
                <w:sz w:val="18"/>
                <w:szCs w:val="18"/>
              </w:rPr>
            </w:pPr>
            <w:r w:rsidRPr="00653B40">
              <w:rPr>
                <w:rFonts w:cs="Arial"/>
                <w:b/>
                <w:i/>
                <w:sz w:val="18"/>
                <w:szCs w:val="18"/>
              </w:rPr>
              <w:t>Module C: The Craft of Writing (continued)</w:t>
            </w:r>
          </w:p>
        </w:tc>
        <w:tc>
          <w:tcPr>
            <w:tcW w:w="8924" w:type="dxa"/>
            <w:gridSpan w:val="8"/>
          </w:tcPr>
          <w:p w:rsidR="00A06823" w:rsidRPr="00653B40" w:rsidRDefault="0092019E" w:rsidP="00882186">
            <w:pPr>
              <w:rPr>
                <w:b/>
                <w:i/>
                <w:sz w:val="18"/>
                <w:szCs w:val="18"/>
              </w:rPr>
            </w:pPr>
            <w:r w:rsidRPr="00653B40">
              <w:rPr>
                <w:rFonts w:cs="Arial"/>
                <w:b/>
                <w:i/>
                <w:sz w:val="18"/>
                <w:szCs w:val="18"/>
              </w:rPr>
              <w:t>Module A: Language, Culture and Identity</w:t>
            </w:r>
            <w:r w:rsidR="00B8298B" w:rsidRPr="00653B40">
              <w:rPr>
                <w:sz w:val="18"/>
                <w:szCs w:val="18"/>
              </w:rPr>
              <w:t xml:space="preserve"> </w:t>
            </w:r>
            <w:r w:rsidR="00A06823" w:rsidRPr="00653B40">
              <w:rPr>
                <w:b/>
                <w:i/>
                <w:sz w:val="18"/>
                <w:szCs w:val="18"/>
              </w:rPr>
              <w:t>(30 hours)</w:t>
            </w:r>
          </w:p>
          <w:p w:rsidR="00912C91" w:rsidRPr="00653B40" w:rsidRDefault="004B26D0" w:rsidP="00653B40">
            <w:pPr>
              <w:rPr>
                <w:sz w:val="18"/>
                <w:szCs w:val="18"/>
              </w:rPr>
            </w:pPr>
            <w:r w:rsidRPr="00653B40">
              <w:rPr>
                <w:sz w:val="18"/>
                <w:szCs w:val="18"/>
              </w:rPr>
              <w:t xml:space="preserve">Students explore, analyse and assess the ways in which meaning about individual and community identity, as well as cultural perspectives, is shaped in and through texts. </w:t>
            </w:r>
          </w:p>
        </w:tc>
      </w:tr>
      <w:tr w:rsidR="00653B40" w:rsidRPr="00653B40" w:rsidTr="00953B14">
        <w:trPr>
          <w:cantSplit/>
          <w:tblHeader/>
        </w:trPr>
        <w:tc>
          <w:tcPr>
            <w:tcW w:w="560" w:type="dxa"/>
            <w:vMerge/>
            <w:tcMar>
              <w:top w:w="57" w:type="dxa"/>
              <w:left w:w="57" w:type="dxa"/>
              <w:bottom w:w="57" w:type="dxa"/>
              <w:right w:w="57" w:type="dxa"/>
            </w:tcMar>
          </w:tcPr>
          <w:p w:rsidR="00653B40" w:rsidRPr="00653B40" w:rsidRDefault="00653B40" w:rsidP="00000664">
            <w:pPr>
              <w:rPr>
                <w:rFonts w:cs="Arial"/>
                <w:sz w:val="18"/>
                <w:szCs w:val="18"/>
              </w:rPr>
            </w:pPr>
          </w:p>
        </w:tc>
        <w:tc>
          <w:tcPr>
            <w:tcW w:w="5916" w:type="dxa"/>
            <w:gridSpan w:val="7"/>
            <w:tcMar>
              <w:top w:w="57" w:type="dxa"/>
              <w:left w:w="57" w:type="dxa"/>
              <w:bottom w:w="57" w:type="dxa"/>
              <w:right w:w="57" w:type="dxa"/>
            </w:tcMar>
          </w:tcPr>
          <w:p w:rsidR="00653B40" w:rsidRPr="00653B40" w:rsidRDefault="00653B40" w:rsidP="00B91F93">
            <w:pPr>
              <w:rPr>
                <w:rFonts w:cs="Arial"/>
                <w:sz w:val="18"/>
                <w:szCs w:val="18"/>
              </w:rPr>
            </w:pPr>
            <w:r w:rsidRPr="00653B40">
              <w:rPr>
                <w:rFonts w:cs="Arial"/>
                <w:i/>
                <w:sz w:val="18"/>
                <w:szCs w:val="18"/>
              </w:rPr>
              <w:t xml:space="preserve">Prescribed text 2: </w:t>
            </w:r>
            <w:r w:rsidRPr="00653B40">
              <w:rPr>
                <w:rFonts w:cs="Arial"/>
                <w:sz w:val="18"/>
                <w:szCs w:val="18"/>
              </w:rPr>
              <w:t>Nonfiction Essay</w:t>
            </w:r>
          </w:p>
        </w:tc>
        <w:tc>
          <w:tcPr>
            <w:tcW w:w="8924" w:type="dxa"/>
            <w:gridSpan w:val="8"/>
          </w:tcPr>
          <w:p w:rsidR="00653B40" w:rsidRPr="00653B40" w:rsidRDefault="00653B40" w:rsidP="00557367">
            <w:pPr>
              <w:rPr>
                <w:rFonts w:cs="Arial"/>
                <w:sz w:val="18"/>
                <w:szCs w:val="18"/>
              </w:rPr>
            </w:pPr>
            <w:r w:rsidRPr="00653B40">
              <w:rPr>
                <w:rFonts w:cs="Arial"/>
                <w:i/>
                <w:sz w:val="18"/>
                <w:szCs w:val="18"/>
              </w:rPr>
              <w:t xml:space="preserve">Prescribed text: </w:t>
            </w:r>
            <w:r w:rsidRPr="00653B40">
              <w:rPr>
                <w:rFonts w:cs="Arial"/>
                <w:sz w:val="18"/>
                <w:szCs w:val="18"/>
              </w:rPr>
              <w:t>P</w:t>
            </w:r>
            <w:r w:rsidR="00557367">
              <w:rPr>
                <w:rFonts w:cs="Arial"/>
                <w:sz w:val="18"/>
                <w:szCs w:val="18"/>
              </w:rPr>
              <w:t>rose Fiction</w:t>
            </w:r>
          </w:p>
        </w:tc>
      </w:tr>
      <w:tr w:rsidR="00912C91" w:rsidRPr="00653B40" w:rsidTr="00953B14">
        <w:trPr>
          <w:cantSplit/>
          <w:tblHeader/>
        </w:trPr>
        <w:tc>
          <w:tcPr>
            <w:tcW w:w="560" w:type="dxa"/>
            <w:vMerge/>
            <w:tcMar>
              <w:top w:w="57" w:type="dxa"/>
              <w:left w:w="57" w:type="dxa"/>
              <w:bottom w:w="57" w:type="dxa"/>
              <w:right w:w="57" w:type="dxa"/>
            </w:tcMar>
          </w:tcPr>
          <w:p w:rsidR="00912C91" w:rsidRPr="00653B40" w:rsidRDefault="00912C91" w:rsidP="00912C91">
            <w:pPr>
              <w:rPr>
                <w:rFonts w:cs="Arial"/>
                <w:i/>
                <w:sz w:val="18"/>
                <w:szCs w:val="18"/>
              </w:rPr>
            </w:pPr>
          </w:p>
        </w:tc>
        <w:tc>
          <w:tcPr>
            <w:tcW w:w="5916" w:type="dxa"/>
            <w:gridSpan w:val="7"/>
            <w:tcMar>
              <w:top w:w="57" w:type="dxa"/>
              <w:left w:w="57" w:type="dxa"/>
              <w:bottom w:w="57" w:type="dxa"/>
              <w:right w:w="57" w:type="dxa"/>
            </w:tcMar>
          </w:tcPr>
          <w:p w:rsidR="00AE656B" w:rsidRPr="00653B40" w:rsidRDefault="005225F6" w:rsidP="00912C91">
            <w:pPr>
              <w:rPr>
                <w:sz w:val="18"/>
                <w:szCs w:val="18"/>
              </w:rPr>
            </w:pPr>
            <w:r w:rsidRPr="00653B40">
              <w:rPr>
                <w:i/>
                <w:sz w:val="18"/>
                <w:szCs w:val="18"/>
              </w:rPr>
              <w:t>Outcomes:</w:t>
            </w:r>
            <w:r w:rsidRPr="00653B40">
              <w:rPr>
                <w:sz w:val="18"/>
                <w:szCs w:val="18"/>
              </w:rPr>
              <w:t xml:space="preserve"> </w:t>
            </w:r>
            <w:r w:rsidR="00A149E0" w:rsidRPr="00653B40">
              <w:rPr>
                <w:sz w:val="18"/>
                <w:szCs w:val="18"/>
              </w:rPr>
              <w:t xml:space="preserve">EN12-1, EN12-3, EN12-4, EN12-5, EN12-6, EN12-7, </w:t>
            </w:r>
            <w:r w:rsidR="00B91F93">
              <w:rPr>
                <w:sz w:val="18"/>
                <w:szCs w:val="18"/>
              </w:rPr>
              <w:br/>
            </w:r>
            <w:r w:rsidR="00A149E0" w:rsidRPr="00653B40">
              <w:rPr>
                <w:sz w:val="18"/>
                <w:szCs w:val="18"/>
              </w:rPr>
              <w:t>EN12-8, EN12-9</w:t>
            </w:r>
          </w:p>
        </w:tc>
        <w:tc>
          <w:tcPr>
            <w:tcW w:w="8924" w:type="dxa"/>
            <w:gridSpan w:val="8"/>
          </w:tcPr>
          <w:p w:rsidR="00912C91" w:rsidRPr="00653B40" w:rsidRDefault="00912C91" w:rsidP="004B26D0">
            <w:pPr>
              <w:rPr>
                <w:rFonts w:cs="Arial"/>
                <w:i/>
                <w:sz w:val="18"/>
                <w:szCs w:val="18"/>
              </w:rPr>
            </w:pPr>
            <w:r w:rsidRPr="00653B40">
              <w:rPr>
                <w:rFonts w:cs="Arial"/>
                <w:i/>
                <w:sz w:val="18"/>
                <w:szCs w:val="18"/>
              </w:rPr>
              <w:t xml:space="preserve">Outcomes: </w:t>
            </w:r>
            <w:r w:rsidR="004B26D0" w:rsidRPr="00653B40">
              <w:rPr>
                <w:rFonts w:cs="Arial"/>
                <w:sz w:val="18"/>
                <w:szCs w:val="18"/>
              </w:rPr>
              <w:t>EN12-1, EN12-3, EN12-5, EN12-7, EN12-8, EN12-9</w:t>
            </w:r>
          </w:p>
        </w:tc>
      </w:tr>
      <w:tr w:rsidR="00FB2609" w:rsidRPr="00653B40" w:rsidTr="00953B14">
        <w:trPr>
          <w:tblHeader/>
        </w:trPr>
        <w:tc>
          <w:tcPr>
            <w:tcW w:w="560" w:type="dxa"/>
            <w:vMerge w:val="restart"/>
            <w:shd w:val="clear" w:color="auto" w:fill="auto"/>
            <w:tcMar>
              <w:top w:w="57" w:type="dxa"/>
              <w:left w:w="57" w:type="dxa"/>
              <w:bottom w:w="57" w:type="dxa"/>
              <w:right w:w="57" w:type="dxa"/>
            </w:tcMar>
            <w:textDirection w:val="btLr"/>
            <w:vAlign w:val="center"/>
          </w:tcPr>
          <w:p w:rsidR="00FB2609" w:rsidRPr="00653B40" w:rsidRDefault="00FB2609" w:rsidP="007D0B60">
            <w:pPr>
              <w:jc w:val="center"/>
              <w:rPr>
                <w:b/>
                <w:sz w:val="18"/>
                <w:szCs w:val="18"/>
              </w:rPr>
            </w:pPr>
            <w:r w:rsidRPr="00653B40">
              <w:rPr>
                <w:b/>
                <w:sz w:val="18"/>
                <w:szCs w:val="18"/>
              </w:rPr>
              <w:t>Term 3</w:t>
            </w:r>
          </w:p>
        </w:tc>
        <w:tc>
          <w:tcPr>
            <w:tcW w:w="1454" w:type="dxa"/>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1</w:t>
            </w:r>
          </w:p>
        </w:tc>
        <w:tc>
          <w:tcPr>
            <w:tcW w:w="1492" w:type="dxa"/>
            <w:gridSpan w:val="3"/>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2</w:t>
            </w:r>
          </w:p>
        </w:tc>
        <w:tc>
          <w:tcPr>
            <w:tcW w:w="1484" w:type="dxa"/>
            <w:gridSpan w:val="2"/>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3</w:t>
            </w:r>
          </w:p>
        </w:tc>
        <w:tc>
          <w:tcPr>
            <w:tcW w:w="1486" w:type="dxa"/>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4</w:t>
            </w:r>
          </w:p>
        </w:tc>
        <w:tc>
          <w:tcPr>
            <w:tcW w:w="1485" w:type="dxa"/>
            <w:gridSpan w:val="2"/>
            <w:tcMar>
              <w:top w:w="57" w:type="dxa"/>
              <w:left w:w="57" w:type="dxa"/>
              <w:bottom w:w="57" w:type="dxa"/>
              <w:right w:w="57" w:type="dxa"/>
            </w:tcMar>
          </w:tcPr>
          <w:p w:rsidR="00FB2609" w:rsidRPr="00653B40" w:rsidRDefault="00FB2609" w:rsidP="00A6042F">
            <w:pPr>
              <w:jc w:val="center"/>
              <w:rPr>
                <w:b/>
                <w:sz w:val="18"/>
                <w:szCs w:val="18"/>
                <w:highlight w:val="yellow"/>
              </w:rPr>
            </w:pPr>
            <w:r w:rsidRPr="00653B40">
              <w:rPr>
                <w:b/>
                <w:sz w:val="18"/>
                <w:szCs w:val="18"/>
              </w:rPr>
              <w:t>Week 5</w:t>
            </w:r>
          </w:p>
        </w:tc>
        <w:tc>
          <w:tcPr>
            <w:tcW w:w="1488" w:type="dxa"/>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6</w:t>
            </w:r>
          </w:p>
        </w:tc>
        <w:tc>
          <w:tcPr>
            <w:tcW w:w="1483" w:type="dxa"/>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7</w:t>
            </w:r>
          </w:p>
        </w:tc>
        <w:tc>
          <w:tcPr>
            <w:tcW w:w="1483" w:type="dxa"/>
            <w:gridSpan w:val="2"/>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8</w:t>
            </w:r>
          </w:p>
        </w:tc>
        <w:tc>
          <w:tcPr>
            <w:tcW w:w="1484" w:type="dxa"/>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9</w:t>
            </w:r>
          </w:p>
        </w:tc>
        <w:tc>
          <w:tcPr>
            <w:tcW w:w="1501" w:type="dxa"/>
            <w:tcMar>
              <w:top w:w="57" w:type="dxa"/>
              <w:left w:w="57" w:type="dxa"/>
              <w:bottom w:w="57" w:type="dxa"/>
              <w:right w:w="57" w:type="dxa"/>
            </w:tcMar>
          </w:tcPr>
          <w:p w:rsidR="00FB2609" w:rsidRPr="00653B40" w:rsidRDefault="00FB2609" w:rsidP="00A6042F">
            <w:pPr>
              <w:jc w:val="center"/>
              <w:rPr>
                <w:b/>
                <w:sz w:val="18"/>
                <w:szCs w:val="18"/>
              </w:rPr>
            </w:pPr>
            <w:r w:rsidRPr="00653B40">
              <w:rPr>
                <w:b/>
                <w:sz w:val="18"/>
                <w:szCs w:val="18"/>
              </w:rPr>
              <w:t>Week 10</w:t>
            </w:r>
          </w:p>
        </w:tc>
      </w:tr>
      <w:tr w:rsidR="00FB2609" w:rsidRPr="00653B40" w:rsidTr="00953B14">
        <w:trPr>
          <w:cantSplit/>
          <w:tblHeader/>
        </w:trPr>
        <w:tc>
          <w:tcPr>
            <w:tcW w:w="560" w:type="dxa"/>
            <w:vMerge/>
            <w:tcMar>
              <w:top w:w="57" w:type="dxa"/>
              <w:left w:w="57" w:type="dxa"/>
              <w:bottom w:w="57" w:type="dxa"/>
              <w:right w:w="57" w:type="dxa"/>
            </w:tcMar>
          </w:tcPr>
          <w:p w:rsidR="00FB2609" w:rsidRPr="00653B40" w:rsidRDefault="00FB2609" w:rsidP="00FF4292">
            <w:pPr>
              <w:rPr>
                <w:rFonts w:cs="Arial"/>
                <w:i/>
                <w:sz w:val="18"/>
                <w:szCs w:val="18"/>
              </w:rPr>
            </w:pPr>
          </w:p>
        </w:tc>
        <w:tc>
          <w:tcPr>
            <w:tcW w:w="2946" w:type="dxa"/>
            <w:gridSpan w:val="4"/>
            <w:tcMar>
              <w:top w:w="57" w:type="dxa"/>
              <w:left w:w="57" w:type="dxa"/>
              <w:bottom w:w="57" w:type="dxa"/>
              <w:right w:w="57" w:type="dxa"/>
            </w:tcMar>
          </w:tcPr>
          <w:p w:rsidR="00FB2609" w:rsidRPr="00653B40" w:rsidRDefault="00FB2609" w:rsidP="005225F6">
            <w:pPr>
              <w:rPr>
                <w:rFonts w:cs="Arial"/>
                <w:b/>
                <w:i/>
                <w:sz w:val="18"/>
                <w:szCs w:val="18"/>
              </w:rPr>
            </w:pPr>
            <w:r w:rsidRPr="00653B40">
              <w:rPr>
                <w:rFonts w:cs="Arial"/>
                <w:b/>
                <w:i/>
                <w:sz w:val="18"/>
                <w:szCs w:val="18"/>
              </w:rPr>
              <w:t>Module A: Language, Identity and Culture (continued)</w:t>
            </w:r>
          </w:p>
        </w:tc>
        <w:tc>
          <w:tcPr>
            <w:tcW w:w="3959" w:type="dxa"/>
            <w:gridSpan w:val="4"/>
          </w:tcPr>
          <w:p w:rsidR="00FB2609" w:rsidRPr="00653B40" w:rsidRDefault="00FB2609">
            <w:pPr>
              <w:rPr>
                <w:rFonts w:cs="Arial"/>
                <w:i/>
                <w:sz w:val="18"/>
                <w:szCs w:val="18"/>
              </w:rPr>
            </w:pPr>
            <w:r w:rsidRPr="00653B40">
              <w:rPr>
                <w:rFonts w:cs="Arial"/>
                <w:i/>
                <w:sz w:val="18"/>
                <w:szCs w:val="18"/>
              </w:rPr>
              <w:t>Module A – Analytical writing</w:t>
            </w:r>
          </w:p>
        </w:tc>
        <w:tc>
          <w:tcPr>
            <w:tcW w:w="3958" w:type="dxa"/>
            <w:gridSpan w:val="4"/>
          </w:tcPr>
          <w:p w:rsidR="00FB2609" w:rsidRPr="00653B40" w:rsidRDefault="00FB2609" w:rsidP="00FB2609">
            <w:pPr>
              <w:rPr>
                <w:rFonts w:cs="Arial"/>
                <w:i/>
                <w:sz w:val="18"/>
                <w:szCs w:val="18"/>
              </w:rPr>
            </w:pPr>
            <w:r w:rsidRPr="00653B40">
              <w:rPr>
                <w:rFonts w:cs="Arial"/>
                <w:i/>
                <w:sz w:val="18"/>
                <w:szCs w:val="18"/>
              </w:rPr>
              <w:t xml:space="preserve">Module B – Creating a thesis and using evidence </w:t>
            </w:r>
          </w:p>
        </w:tc>
        <w:tc>
          <w:tcPr>
            <w:tcW w:w="3977" w:type="dxa"/>
            <w:gridSpan w:val="3"/>
          </w:tcPr>
          <w:p w:rsidR="00FB2609" w:rsidRPr="00653B40" w:rsidRDefault="00FB2609" w:rsidP="00FB2609">
            <w:pPr>
              <w:rPr>
                <w:rFonts w:cs="Arial"/>
                <w:sz w:val="18"/>
                <w:szCs w:val="18"/>
              </w:rPr>
            </w:pPr>
            <w:r w:rsidRPr="00653B40">
              <w:rPr>
                <w:rFonts w:cs="Arial"/>
                <w:sz w:val="18"/>
                <w:szCs w:val="18"/>
              </w:rPr>
              <w:t xml:space="preserve">Common Module – Responding to unseen material </w:t>
            </w:r>
          </w:p>
        </w:tc>
      </w:tr>
      <w:tr w:rsidR="00FB2609" w:rsidRPr="00653B40" w:rsidTr="00953B14">
        <w:trPr>
          <w:cantSplit/>
          <w:tblHeader/>
        </w:trPr>
        <w:tc>
          <w:tcPr>
            <w:tcW w:w="560" w:type="dxa"/>
            <w:vMerge/>
            <w:tcMar>
              <w:top w:w="57" w:type="dxa"/>
              <w:left w:w="57" w:type="dxa"/>
              <w:bottom w:w="57" w:type="dxa"/>
              <w:right w:w="57" w:type="dxa"/>
            </w:tcMar>
          </w:tcPr>
          <w:p w:rsidR="00FB2609" w:rsidRPr="00653B40" w:rsidRDefault="00FB2609" w:rsidP="00FF4292">
            <w:pPr>
              <w:rPr>
                <w:rFonts w:cs="Arial"/>
                <w:sz w:val="18"/>
                <w:szCs w:val="18"/>
              </w:rPr>
            </w:pPr>
          </w:p>
        </w:tc>
        <w:tc>
          <w:tcPr>
            <w:tcW w:w="2946" w:type="dxa"/>
            <w:gridSpan w:val="4"/>
            <w:tcMar>
              <w:top w:w="57" w:type="dxa"/>
              <w:left w:w="57" w:type="dxa"/>
              <w:bottom w:w="57" w:type="dxa"/>
              <w:right w:w="57" w:type="dxa"/>
            </w:tcMar>
          </w:tcPr>
          <w:p w:rsidR="00FB2609" w:rsidRPr="00653B40" w:rsidRDefault="00FB2609" w:rsidP="00557367">
            <w:pPr>
              <w:rPr>
                <w:rFonts w:cs="Arial"/>
                <w:i/>
                <w:sz w:val="18"/>
                <w:szCs w:val="18"/>
              </w:rPr>
            </w:pPr>
            <w:r w:rsidRPr="00653B40">
              <w:rPr>
                <w:rFonts w:cs="Arial"/>
                <w:i/>
                <w:sz w:val="18"/>
                <w:szCs w:val="18"/>
              </w:rPr>
              <w:t>Prescribed text: P</w:t>
            </w:r>
            <w:r w:rsidR="00557367">
              <w:rPr>
                <w:rFonts w:cs="Arial"/>
                <w:i/>
                <w:sz w:val="18"/>
                <w:szCs w:val="18"/>
              </w:rPr>
              <w:t>rose Fiction</w:t>
            </w:r>
          </w:p>
        </w:tc>
        <w:tc>
          <w:tcPr>
            <w:tcW w:w="3959" w:type="dxa"/>
            <w:gridSpan w:val="4"/>
          </w:tcPr>
          <w:p w:rsidR="00FB2609" w:rsidRPr="00653B40" w:rsidRDefault="00FB2609" w:rsidP="00557367">
            <w:pPr>
              <w:rPr>
                <w:rFonts w:cs="Arial"/>
                <w:i/>
                <w:sz w:val="18"/>
                <w:szCs w:val="18"/>
              </w:rPr>
            </w:pPr>
            <w:r w:rsidRPr="00653B40">
              <w:rPr>
                <w:rFonts w:cs="Arial"/>
                <w:i/>
                <w:sz w:val="18"/>
                <w:szCs w:val="18"/>
              </w:rPr>
              <w:t>P</w:t>
            </w:r>
            <w:r w:rsidR="00557367">
              <w:rPr>
                <w:rFonts w:cs="Arial"/>
                <w:i/>
                <w:sz w:val="18"/>
                <w:szCs w:val="18"/>
              </w:rPr>
              <w:t>rose Fiction</w:t>
            </w:r>
            <w:bookmarkStart w:id="0" w:name="_GoBack"/>
            <w:bookmarkEnd w:id="0"/>
          </w:p>
        </w:tc>
        <w:tc>
          <w:tcPr>
            <w:tcW w:w="3958" w:type="dxa"/>
            <w:gridSpan w:val="4"/>
          </w:tcPr>
          <w:p w:rsidR="00FB2609" w:rsidRPr="00653B40" w:rsidRDefault="00FB2609" w:rsidP="002F4FCD">
            <w:pPr>
              <w:rPr>
                <w:rFonts w:cs="Arial"/>
                <w:i/>
                <w:sz w:val="18"/>
                <w:szCs w:val="18"/>
              </w:rPr>
            </w:pPr>
            <w:r w:rsidRPr="00653B40">
              <w:rPr>
                <w:rFonts w:cs="Arial"/>
                <w:i/>
                <w:sz w:val="18"/>
                <w:szCs w:val="18"/>
              </w:rPr>
              <w:t>Media</w:t>
            </w:r>
          </w:p>
        </w:tc>
        <w:tc>
          <w:tcPr>
            <w:tcW w:w="3977" w:type="dxa"/>
            <w:gridSpan w:val="3"/>
          </w:tcPr>
          <w:p w:rsidR="00FB2609" w:rsidRPr="00653B40" w:rsidRDefault="00FB2609" w:rsidP="002F4FCD">
            <w:pPr>
              <w:rPr>
                <w:rFonts w:cs="Arial"/>
                <w:i/>
                <w:sz w:val="18"/>
                <w:szCs w:val="18"/>
              </w:rPr>
            </w:pPr>
            <w:r w:rsidRPr="00653B40">
              <w:rPr>
                <w:rFonts w:cs="Arial"/>
                <w:i/>
                <w:sz w:val="18"/>
                <w:szCs w:val="18"/>
              </w:rPr>
              <w:t>Variety of textual and multimodal material</w:t>
            </w:r>
          </w:p>
        </w:tc>
      </w:tr>
      <w:tr w:rsidR="00653B40" w:rsidRPr="00653B40" w:rsidTr="00953B14">
        <w:trPr>
          <w:cantSplit/>
          <w:trHeight w:val="304"/>
          <w:tblHeader/>
        </w:trPr>
        <w:tc>
          <w:tcPr>
            <w:tcW w:w="560" w:type="dxa"/>
            <w:vMerge/>
            <w:tcMar>
              <w:top w:w="57" w:type="dxa"/>
              <w:left w:w="57" w:type="dxa"/>
              <w:bottom w:w="57" w:type="dxa"/>
              <w:right w:w="57" w:type="dxa"/>
            </w:tcMar>
          </w:tcPr>
          <w:p w:rsidR="00653B40" w:rsidRPr="00653B40" w:rsidRDefault="00653B40" w:rsidP="00FF4292">
            <w:pPr>
              <w:rPr>
                <w:rFonts w:cs="Arial"/>
                <w:i/>
                <w:sz w:val="18"/>
                <w:szCs w:val="18"/>
              </w:rPr>
            </w:pPr>
          </w:p>
        </w:tc>
        <w:tc>
          <w:tcPr>
            <w:tcW w:w="2946" w:type="dxa"/>
            <w:gridSpan w:val="4"/>
            <w:tcMar>
              <w:top w:w="57" w:type="dxa"/>
              <w:left w:w="57" w:type="dxa"/>
              <w:bottom w:w="57" w:type="dxa"/>
              <w:right w:w="57" w:type="dxa"/>
            </w:tcMar>
          </w:tcPr>
          <w:p w:rsidR="00653B40" w:rsidRPr="00653B40" w:rsidRDefault="00653B40" w:rsidP="00FF4292">
            <w:pPr>
              <w:rPr>
                <w:rFonts w:cs="Arial"/>
                <w:sz w:val="18"/>
                <w:szCs w:val="18"/>
              </w:rPr>
            </w:pPr>
          </w:p>
        </w:tc>
        <w:tc>
          <w:tcPr>
            <w:tcW w:w="11894" w:type="dxa"/>
            <w:gridSpan w:val="11"/>
          </w:tcPr>
          <w:p w:rsidR="00653B40" w:rsidRPr="00653B40" w:rsidRDefault="00653B40" w:rsidP="002F4FCD">
            <w:pPr>
              <w:rPr>
                <w:rFonts w:cs="Arial"/>
                <w:sz w:val="18"/>
                <w:szCs w:val="18"/>
              </w:rPr>
            </w:pPr>
            <w:r w:rsidRPr="00653B40">
              <w:rPr>
                <w:rFonts w:cs="Arial"/>
                <w:i/>
                <w:sz w:val="18"/>
                <w:szCs w:val="18"/>
              </w:rPr>
              <w:t xml:space="preserve">Outcomes: </w:t>
            </w:r>
            <w:r w:rsidRPr="00653B40">
              <w:rPr>
                <w:sz w:val="18"/>
                <w:szCs w:val="18"/>
              </w:rPr>
              <w:t>EA12-1, EA12-2, EA12-3, EA12-4, EA12-5, EA12-6, EA12-7, EA12-8, EA12-9</w:t>
            </w:r>
          </w:p>
        </w:tc>
      </w:tr>
    </w:tbl>
    <w:p w:rsidR="005A5797" w:rsidRPr="00653B40" w:rsidRDefault="005A5797" w:rsidP="00DD7655">
      <w:pPr>
        <w:spacing w:after="0" w:line="240" w:lineRule="auto"/>
        <w:rPr>
          <w:sz w:val="18"/>
          <w:szCs w:val="18"/>
        </w:rPr>
      </w:pPr>
    </w:p>
    <w:sectPr w:rsidR="005A5797" w:rsidRPr="00653B40" w:rsidSect="00FF42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44" w:rsidRDefault="00AF6B44" w:rsidP="00065866">
      <w:pPr>
        <w:spacing w:after="0" w:line="240" w:lineRule="auto"/>
      </w:pPr>
      <w:r>
        <w:separator/>
      </w:r>
    </w:p>
  </w:endnote>
  <w:endnote w:type="continuationSeparator" w:id="0">
    <w:p w:rsidR="00AF6B44" w:rsidRDefault="00AF6B44" w:rsidP="0006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44" w:rsidRDefault="00AF6B44" w:rsidP="00065866">
      <w:pPr>
        <w:spacing w:after="0" w:line="240" w:lineRule="auto"/>
      </w:pPr>
      <w:r>
        <w:separator/>
      </w:r>
    </w:p>
  </w:footnote>
  <w:footnote w:type="continuationSeparator" w:id="0">
    <w:p w:rsidR="00AF6B44" w:rsidRDefault="00AF6B44" w:rsidP="00065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0664"/>
    <w:rsid w:val="00033A3B"/>
    <w:rsid w:val="00047E17"/>
    <w:rsid w:val="00056F79"/>
    <w:rsid w:val="00065866"/>
    <w:rsid w:val="000715D6"/>
    <w:rsid w:val="000A04C7"/>
    <w:rsid w:val="000A61D8"/>
    <w:rsid w:val="000C6F18"/>
    <w:rsid w:val="000E5035"/>
    <w:rsid w:val="00135EF9"/>
    <w:rsid w:val="00163CF1"/>
    <w:rsid w:val="0017198D"/>
    <w:rsid w:val="00181D66"/>
    <w:rsid w:val="00186A0E"/>
    <w:rsid w:val="001D0769"/>
    <w:rsid w:val="001F41E9"/>
    <w:rsid w:val="00252B77"/>
    <w:rsid w:val="002A0A3D"/>
    <w:rsid w:val="002B0B4D"/>
    <w:rsid w:val="002F4FCD"/>
    <w:rsid w:val="002F7A69"/>
    <w:rsid w:val="00324F8B"/>
    <w:rsid w:val="00325188"/>
    <w:rsid w:val="00330DA3"/>
    <w:rsid w:val="00366C19"/>
    <w:rsid w:val="0039350A"/>
    <w:rsid w:val="003C0566"/>
    <w:rsid w:val="003C1E54"/>
    <w:rsid w:val="003D24FD"/>
    <w:rsid w:val="0043361A"/>
    <w:rsid w:val="004B197C"/>
    <w:rsid w:val="004B26D0"/>
    <w:rsid w:val="004D0185"/>
    <w:rsid w:val="005005BD"/>
    <w:rsid w:val="005225F6"/>
    <w:rsid w:val="00543AD0"/>
    <w:rsid w:val="00557367"/>
    <w:rsid w:val="005A5797"/>
    <w:rsid w:val="005A77E9"/>
    <w:rsid w:val="006305D3"/>
    <w:rsid w:val="00653B40"/>
    <w:rsid w:val="00665513"/>
    <w:rsid w:val="006D4F6F"/>
    <w:rsid w:val="0070417B"/>
    <w:rsid w:val="0073068D"/>
    <w:rsid w:val="00763722"/>
    <w:rsid w:val="007D0B60"/>
    <w:rsid w:val="00864B2C"/>
    <w:rsid w:val="00882186"/>
    <w:rsid w:val="00884C97"/>
    <w:rsid w:val="008F7575"/>
    <w:rsid w:val="00912C91"/>
    <w:rsid w:val="0092019E"/>
    <w:rsid w:val="00953B14"/>
    <w:rsid w:val="009A3F0D"/>
    <w:rsid w:val="009C222C"/>
    <w:rsid w:val="009E3B75"/>
    <w:rsid w:val="009F5CBD"/>
    <w:rsid w:val="00A06823"/>
    <w:rsid w:val="00A149E0"/>
    <w:rsid w:val="00A22E10"/>
    <w:rsid w:val="00A2573A"/>
    <w:rsid w:val="00A30C7A"/>
    <w:rsid w:val="00A4235D"/>
    <w:rsid w:val="00A54A2E"/>
    <w:rsid w:val="00A6042F"/>
    <w:rsid w:val="00A7475A"/>
    <w:rsid w:val="00A77AA7"/>
    <w:rsid w:val="00A87F61"/>
    <w:rsid w:val="00AB2566"/>
    <w:rsid w:val="00AC4732"/>
    <w:rsid w:val="00AD4C17"/>
    <w:rsid w:val="00AE656B"/>
    <w:rsid w:val="00AF6B44"/>
    <w:rsid w:val="00B339A4"/>
    <w:rsid w:val="00B8298B"/>
    <w:rsid w:val="00B91C1C"/>
    <w:rsid w:val="00B91F93"/>
    <w:rsid w:val="00B965E9"/>
    <w:rsid w:val="00BB73C2"/>
    <w:rsid w:val="00BC3311"/>
    <w:rsid w:val="00C007E3"/>
    <w:rsid w:val="00C236CF"/>
    <w:rsid w:val="00C27724"/>
    <w:rsid w:val="00C46A2F"/>
    <w:rsid w:val="00C74D93"/>
    <w:rsid w:val="00CA7EAB"/>
    <w:rsid w:val="00CC0775"/>
    <w:rsid w:val="00CD760D"/>
    <w:rsid w:val="00D17E38"/>
    <w:rsid w:val="00D35E25"/>
    <w:rsid w:val="00DD7655"/>
    <w:rsid w:val="00DF4B09"/>
    <w:rsid w:val="00E072D6"/>
    <w:rsid w:val="00E13A8B"/>
    <w:rsid w:val="00E20F84"/>
    <w:rsid w:val="00E3660C"/>
    <w:rsid w:val="00E5667B"/>
    <w:rsid w:val="00EB56DC"/>
    <w:rsid w:val="00EF57CA"/>
    <w:rsid w:val="00F02BC4"/>
    <w:rsid w:val="00F42095"/>
    <w:rsid w:val="00F642DE"/>
    <w:rsid w:val="00F66848"/>
    <w:rsid w:val="00F831C1"/>
    <w:rsid w:val="00FB2609"/>
    <w:rsid w:val="00FD5598"/>
    <w:rsid w:val="00FF4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06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66"/>
    <w:rPr>
      <w:rFonts w:ascii="Arial" w:hAnsi="Arial"/>
      <w:sz w:val="24"/>
    </w:rPr>
  </w:style>
  <w:style w:type="paragraph" w:styleId="Footer">
    <w:name w:val="footer"/>
    <w:basedOn w:val="Normal"/>
    <w:link w:val="FooterChar"/>
    <w:uiPriority w:val="99"/>
    <w:unhideWhenUsed/>
    <w:rsid w:val="0006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66"/>
    <w:rPr>
      <w:rFonts w:ascii="Arial" w:hAnsi="Arial"/>
      <w:sz w:val="24"/>
    </w:rPr>
  </w:style>
  <w:style w:type="paragraph" w:styleId="BalloonText">
    <w:name w:val="Balloon Text"/>
    <w:basedOn w:val="Normal"/>
    <w:link w:val="BalloonTextChar"/>
    <w:uiPriority w:val="99"/>
    <w:semiHidden/>
    <w:unhideWhenUsed/>
    <w:rsid w:val="0006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35"/>
    <w:rPr>
      <w:rFonts w:ascii="Arial" w:hAnsi="Arial"/>
      <w:sz w:val="24"/>
    </w:rPr>
  </w:style>
  <w:style w:type="paragraph" w:styleId="Heading1">
    <w:name w:val="heading 1"/>
    <w:basedOn w:val="Normal"/>
    <w:next w:val="Normal"/>
    <w:link w:val="Heading1Char"/>
    <w:uiPriority w:val="9"/>
    <w:qFormat/>
    <w:rsid w:val="000E5035"/>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47E17"/>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0E503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047E17"/>
    <w:rPr>
      <w:rFonts w:ascii="Arial" w:eastAsiaTheme="majorEastAsia" w:hAnsi="Arial" w:cstheme="majorBidi"/>
      <w:b/>
      <w:bCs/>
      <w:sz w:val="24"/>
      <w:szCs w:val="26"/>
    </w:rPr>
  </w:style>
  <w:style w:type="paragraph" w:styleId="Header">
    <w:name w:val="header"/>
    <w:basedOn w:val="Normal"/>
    <w:link w:val="HeaderChar"/>
    <w:uiPriority w:val="99"/>
    <w:unhideWhenUsed/>
    <w:rsid w:val="0006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66"/>
    <w:rPr>
      <w:rFonts w:ascii="Arial" w:hAnsi="Arial"/>
      <w:sz w:val="24"/>
    </w:rPr>
  </w:style>
  <w:style w:type="paragraph" w:styleId="Footer">
    <w:name w:val="footer"/>
    <w:basedOn w:val="Normal"/>
    <w:link w:val="FooterChar"/>
    <w:uiPriority w:val="99"/>
    <w:unhideWhenUsed/>
    <w:rsid w:val="0006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66"/>
    <w:rPr>
      <w:rFonts w:ascii="Arial" w:hAnsi="Arial"/>
      <w:sz w:val="24"/>
    </w:rPr>
  </w:style>
  <w:style w:type="paragraph" w:styleId="BalloonText">
    <w:name w:val="Balloon Text"/>
    <w:basedOn w:val="Normal"/>
    <w:link w:val="BalloonTextChar"/>
    <w:uiPriority w:val="99"/>
    <w:semiHidden/>
    <w:unhideWhenUsed/>
    <w:rsid w:val="0006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Standard (B)</dc:title>
  <dc:creator>NESA</dc:creator>
  <cp:lastModifiedBy>Katherine Lowing</cp:lastModifiedBy>
  <cp:revision>21</cp:revision>
  <cp:lastPrinted>2017-03-13T04:51:00Z</cp:lastPrinted>
  <dcterms:created xsi:type="dcterms:W3CDTF">2017-03-13T04:25:00Z</dcterms:created>
  <dcterms:modified xsi:type="dcterms:W3CDTF">2017-03-30T22:40:00Z</dcterms:modified>
</cp:coreProperties>
</file>