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CE" w:rsidRDefault="001F1E82" w:rsidP="002409CE">
      <w:pPr>
        <w:pStyle w:val="Heading1"/>
        <w:rPr>
          <w:b w:val="0"/>
        </w:rPr>
      </w:pPr>
      <w:bookmarkStart w:id="0" w:name="_GoBack"/>
      <w:bookmarkEnd w:id="0"/>
      <w:r w:rsidRPr="006D0321">
        <w:t xml:space="preserve">Sample </w:t>
      </w:r>
      <w:r w:rsidR="000118AE" w:rsidRPr="006D0321">
        <w:t>Formal Assessment Task Notification</w:t>
      </w:r>
      <w:r w:rsidR="006D0321">
        <w:rPr>
          <w:b w:val="0"/>
        </w:rPr>
        <w:t xml:space="preserve"> </w:t>
      </w:r>
    </w:p>
    <w:p w:rsidR="001F1AF6" w:rsidRDefault="001E4A45" w:rsidP="001E4A45">
      <w:pPr>
        <w:pStyle w:val="Heading1"/>
        <w:spacing w:before="120" w:after="120"/>
      </w:pPr>
      <w:r w:rsidRPr="006D0321">
        <w:t xml:space="preserve">Year </w:t>
      </w:r>
      <w:r>
        <w:t xml:space="preserve">11 </w:t>
      </w:r>
      <w:r w:rsidR="00E052A8">
        <w:t>English Extension</w:t>
      </w:r>
      <w:r w:rsidR="00AA0A65" w:rsidRPr="006D0321">
        <w:t xml:space="preserve"> – </w:t>
      </w:r>
      <w:r>
        <w:t>Comparative Essay</w:t>
      </w:r>
    </w:p>
    <w:p w:rsidR="00102497" w:rsidRDefault="00756A93" w:rsidP="00102497">
      <w:pPr>
        <w:spacing w:after="0" w:line="240" w:lineRule="auto"/>
        <w:rPr>
          <w:rFonts w:eastAsia="Times New Roman" w:cs="Arial"/>
          <w:iCs/>
          <w:color w:val="000000"/>
          <w:sz w:val="22"/>
          <w:szCs w:val="22"/>
          <w:lang w:eastAsia="en-AU"/>
        </w:rPr>
      </w:pPr>
      <w:r w:rsidRPr="00756A93">
        <w:rPr>
          <w:b/>
          <w:sz w:val="22"/>
          <w:szCs w:val="22"/>
        </w:rPr>
        <w:t>Context:</w:t>
      </w:r>
      <w:r w:rsidR="0035206E">
        <w:rPr>
          <w:b/>
          <w:sz w:val="22"/>
          <w:szCs w:val="22"/>
        </w:rPr>
        <w:t xml:space="preserve"> </w:t>
      </w:r>
      <w:r w:rsidR="0035206E">
        <w:rPr>
          <w:sz w:val="22"/>
          <w:szCs w:val="22"/>
        </w:rPr>
        <w:t xml:space="preserve">In this unit, students have explored the portrayal of the coloniser and </w:t>
      </w:r>
      <w:r w:rsidR="00E41C64">
        <w:rPr>
          <w:sz w:val="22"/>
          <w:szCs w:val="22"/>
        </w:rPr>
        <w:t xml:space="preserve">the colonised through the study of </w:t>
      </w:r>
      <w:r w:rsidR="0035206E">
        <w:rPr>
          <w:sz w:val="22"/>
          <w:szCs w:val="22"/>
        </w:rPr>
        <w:t xml:space="preserve">Joseph Conrad’s </w:t>
      </w:r>
      <w:r w:rsidR="0035206E">
        <w:rPr>
          <w:i/>
          <w:sz w:val="22"/>
          <w:szCs w:val="22"/>
        </w:rPr>
        <w:t>Heart of Darkness</w:t>
      </w:r>
      <w:r w:rsidR="0035206E">
        <w:t xml:space="preserve"> and </w:t>
      </w:r>
      <w:r w:rsidR="00102497">
        <w:rPr>
          <w:rFonts w:eastAsia="Times New Roman" w:cs="Arial"/>
          <w:bCs/>
          <w:color w:val="000000"/>
          <w:sz w:val="22"/>
          <w:szCs w:val="22"/>
        </w:rPr>
        <w:t xml:space="preserve">Sven </w:t>
      </w:r>
      <w:proofErr w:type="spellStart"/>
      <w:r w:rsidR="00102497">
        <w:rPr>
          <w:rFonts w:eastAsia="Times New Roman" w:cs="Arial"/>
          <w:bCs/>
          <w:color w:val="000000"/>
          <w:sz w:val="22"/>
          <w:szCs w:val="22"/>
        </w:rPr>
        <w:t>Lindqvist’s</w:t>
      </w:r>
      <w:proofErr w:type="spellEnd"/>
      <w:r w:rsidR="00102497">
        <w:rPr>
          <w:rFonts w:eastAsia="Times New Roman" w:cs="Arial"/>
          <w:bCs/>
          <w:color w:val="000000"/>
          <w:sz w:val="22"/>
          <w:szCs w:val="22"/>
        </w:rPr>
        <w:t xml:space="preserve"> </w:t>
      </w:r>
      <w:r w:rsidR="00102497">
        <w:rPr>
          <w:rFonts w:eastAsia="Times New Roman" w:cs="Arial"/>
          <w:i/>
          <w:iCs/>
          <w:color w:val="000000"/>
          <w:sz w:val="22"/>
          <w:szCs w:val="22"/>
          <w:lang w:eastAsia="en-AU"/>
        </w:rPr>
        <w:t xml:space="preserve">Exterminate the Brutes. </w:t>
      </w:r>
      <w:r w:rsidR="00E41C64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They have also explored additional texts to further develop their understanding of how texts continue to represent ‘the </w:t>
      </w:r>
      <w:proofErr w:type="gramStart"/>
      <w:r w:rsidR="00E41C64">
        <w:rPr>
          <w:rFonts w:eastAsia="Times New Roman" w:cs="Arial"/>
          <w:iCs/>
          <w:color w:val="000000"/>
          <w:sz w:val="22"/>
          <w:szCs w:val="22"/>
          <w:lang w:eastAsia="en-AU"/>
        </w:rPr>
        <w:t>Other</w:t>
      </w:r>
      <w:proofErr w:type="gramEnd"/>
      <w:r w:rsidR="00E41C64">
        <w:rPr>
          <w:rFonts w:eastAsia="Times New Roman" w:cs="Arial"/>
          <w:iCs/>
          <w:color w:val="000000"/>
          <w:sz w:val="22"/>
          <w:szCs w:val="22"/>
          <w:lang w:eastAsia="en-AU"/>
        </w:rPr>
        <w:t>’ for various audiences, contexts and purposes. In this assessment task, students will compare the two core texts studied, drawing on their understanding of the role</w:t>
      </w:r>
      <w:r w:rsidR="00C45407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 of</w:t>
      </w:r>
      <w:r w:rsidR="00E41C64">
        <w:rPr>
          <w:rFonts w:eastAsia="Times New Roman" w:cs="Arial"/>
          <w:iCs/>
          <w:color w:val="000000"/>
          <w:sz w:val="22"/>
          <w:szCs w:val="22"/>
          <w:lang w:eastAsia="en-AU"/>
        </w:rPr>
        <w:t xml:space="preserve"> appropriation in mediating the relationships between and among texts.</w:t>
      </w:r>
    </w:p>
    <w:p w:rsidR="00E41C64" w:rsidRPr="00E41C64" w:rsidRDefault="00E41C64" w:rsidP="00102497">
      <w:pPr>
        <w:spacing w:after="0" w:line="240" w:lineRule="auto"/>
        <w:rPr>
          <w:rFonts w:eastAsia="Times New Roman" w:cs="Arial"/>
          <w:iCs/>
          <w:color w:val="000000"/>
          <w:sz w:val="22"/>
          <w:szCs w:val="22"/>
          <w:lang w:eastAsia="en-AU"/>
        </w:rPr>
      </w:pP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1F1AF6" w:rsidRPr="00BC1DCD" w:rsidTr="002256A5">
        <w:trPr>
          <w:cantSplit/>
          <w:tblHeader/>
        </w:trPr>
        <w:tc>
          <w:tcPr>
            <w:tcW w:w="3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1F1AF6" w:rsidP="00BC1DCD">
            <w:pPr>
              <w:rPr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Task</w:t>
            </w:r>
            <w:r w:rsidR="003A227D" w:rsidRPr="00BC1DCD">
              <w:rPr>
                <w:b/>
                <w:sz w:val="22"/>
                <w:szCs w:val="22"/>
              </w:rPr>
              <w:t xml:space="preserve"> number</w:t>
            </w:r>
            <w:r w:rsidRPr="00BC1DCD">
              <w:rPr>
                <w:b/>
                <w:sz w:val="22"/>
                <w:szCs w:val="22"/>
              </w:rPr>
              <w:t>:</w:t>
            </w:r>
            <w:r w:rsidR="002256A5" w:rsidRPr="0012526D">
              <w:rPr>
                <w:sz w:val="22"/>
                <w:szCs w:val="22"/>
              </w:rPr>
              <w:t xml:space="preserve"> </w:t>
            </w:r>
            <w:r w:rsidR="00756A93">
              <w:rPr>
                <w:sz w:val="22"/>
                <w:szCs w:val="22"/>
              </w:rPr>
              <w:t>3</w:t>
            </w:r>
          </w:p>
        </w:tc>
        <w:tc>
          <w:tcPr>
            <w:tcW w:w="3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1F1AF6" w:rsidP="00BC1DCD">
            <w:pPr>
              <w:rPr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Weighting:</w:t>
            </w:r>
            <w:r w:rsidR="002256A5" w:rsidRPr="0012526D">
              <w:rPr>
                <w:sz w:val="22"/>
                <w:szCs w:val="22"/>
              </w:rPr>
              <w:t xml:space="preserve"> </w:t>
            </w:r>
            <w:r w:rsidR="00A57E58">
              <w:rPr>
                <w:sz w:val="22"/>
                <w:szCs w:val="22"/>
              </w:rPr>
              <w:t>3</w:t>
            </w:r>
            <w:r w:rsidR="00E052A8">
              <w:rPr>
                <w:sz w:val="22"/>
                <w:szCs w:val="22"/>
              </w:rPr>
              <w:t>0%</w:t>
            </w:r>
          </w:p>
        </w:tc>
        <w:tc>
          <w:tcPr>
            <w:tcW w:w="3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1F1AF6" w:rsidP="001E4A45">
            <w:pPr>
              <w:rPr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Timing:</w:t>
            </w:r>
            <w:r w:rsidR="002256A5" w:rsidRPr="0012526D">
              <w:rPr>
                <w:sz w:val="22"/>
                <w:szCs w:val="22"/>
              </w:rPr>
              <w:t xml:space="preserve"> </w:t>
            </w:r>
            <w:r w:rsidR="00A57E58">
              <w:rPr>
                <w:sz w:val="22"/>
                <w:szCs w:val="22"/>
              </w:rPr>
              <w:t xml:space="preserve">Term </w:t>
            </w:r>
            <w:r w:rsidR="001E4A45">
              <w:rPr>
                <w:sz w:val="22"/>
                <w:szCs w:val="22"/>
              </w:rPr>
              <w:t>3, Week 9</w:t>
            </w:r>
          </w:p>
        </w:tc>
      </w:tr>
      <w:tr w:rsidR="001F1AF6" w:rsidRPr="00BC1DCD" w:rsidTr="002256A5">
        <w:trPr>
          <w:cantSplit/>
        </w:trPr>
        <w:tc>
          <w:tcPr>
            <w:tcW w:w="9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756A93" w:rsidRDefault="001F1AF6" w:rsidP="00BC1DCD">
            <w:pPr>
              <w:rPr>
                <w:rFonts w:cs="Arial"/>
                <w:sz w:val="22"/>
                <w:szCs w:val="22"/>
              </w:rPr>
            </w:pPr>
            <w:r w:rsidRPr="00756A93">
              <w:rPr>
                <w:rFonts w:cs="Arial"/>
                <w:b/>
                <w:sz w:val="22"/>
                <w:szCs w:val="22"/>
              </w:rPr>
              <w:t>Outcomes assessed</w:t>
            </w:r>
          </w:p>
          <w:p w:rsidR="00756A93" w:rsidRPr="00756A93" w:rsidRDefault="00756A93" w:rsidP="00756A93">
            <w:pPr>
              <w:rPr>
                <w:rFonts w:cs="Arial"/>
                <w:sz w:val="22"/>
                <w:szCs w:val="22"/>
              </w:rPr>
            </w:pPr>
            <w:r w:rsidRPr="00756A93">
              <w:rPr>
                <w:rFonts w:cs="Arial"/>
                <w:sz w:val="22"/>
                <w:szCs w:val="22"/>
              </w:rPr>
              <w:t>A student:</w:t>
            </w:r>
          </w:p>
          <w:p w:rsidR="00756A93" w:rsidRPr="00756A93" w:rsidRDefault="00756A93" w:rsidP="00756A93">
            <w:pPr>
              <w:rPr>
                <w:rFonts w:cs="Arial"/>
                <w:sz w:val="22"/>
                <w:szCs w:val="22"/>
              </w:rPr>
            </w:pPr>
            <w:r w:rsidRPr="00756A93">
              <w:rPr>
                <w:rFonts w:cs="Arial"/>
                <w:b/>
                <w:sz w:val="22"/>
                <w:szCs w:val="22"/>
              </w:rPr>
              <w:t>EE11-1</w:t>
            </w:r>
            <w:r w:rsidRPr="00756A93">
              <w:rPr>
                <w:rFonts w:cs="Arial"/>
                <w:sz w:val="22"/>
                <w:szCs w:val="22"/>
              </w:rPr>
              <w:t xml:space="preserve"> demonstrates and applies considered understanding of the dynamic relationship between text, purpose, audience and context, across a range of modes, media and technologies</w:t>
            </w:r>
          </w:p>
          <w:p w:rsidR="00756A93" w:rsidRPr="00756A93" w:rsidRDefault="00756A93" w:rsidP="00756A93">
            <w:pPr>
              <w:rPr>
                <w:sz w:val="22"/>
                <w:szCs w:val="22"/>
              </w:rPr>
            </w:pPr>
            <w:r w:rsidRPr="00756A93">
              <w:rPr>
                <w:rFonts w:cs="Arial"/>
                <w:b/>
                <w:sz w:val="22"/>
                <w:szCs w:val="22"/>
              </w:rPr>
              <w:t>EE11-3</w:t>
            </w:r>
            <w:r w:rsidRPr="00756A93">
              <w:rPr>
                <w:rFonts w:cs="Arial"/>
                <w:sz w:val="22"/>
                <w:szCs w:val="22"/>
              </w:rPr>
              <w:t xml:space="preserve"> </w:t>
            </w:r>
            <w:r w:rsidRPr="00756A93">
              <w:rPr>
                <w:sz w:val="22"/>
                <w:szCs w:val="22"/>
              </w:rPr>
              <w:t xml:space="preserve">thinks deeply, broadly and flexibly in imaginative, creative, interpretive and critical ways to respond to, compose and explore the relationships between sophisticated texts </w:t>
            </w:r>
          </w:p>
          <w:p w:rsidR="001F1AF6" w:rsidRPr="00756A93" w:rsidRDefault="00756A93" w:rsidP="00756A93">
            <w:pPr>
              <w:rPr>
                <w:rFonts w:cs="Arial"/>
                <w:sz w:val="22"/>
                <w:szCs w:val="22"/>
              </w:rPr>
            </w:pPr>
            <w:r w:rsidRPr="00756A93">
              <w:rPr>
                <w:rFonts w:cs="Arial"/>
                <w:b/>
                <w:sz w:val="22"/>
                <w:szCs w:val="22"/>
              </w:rPr>
              <w:t>EE11-5</w:t>
            </w:r>
            <w:r w:rsidRPr="00756A93">
              <w:rPr>
                <w:rFonts w:cs="Arial"/>
                <w:sz w:val="22"/>
                <w:szCs w:val="22"/>
              </w:rPr>
              <w:t xml:space="preserve"> </w:t>
            </w:r>
            <w:r w:rsidRPr="00756A93">
              <w:rPr>
                <w:sz w:val="22"/>
                <w:szCs w:val="22"/>
              </w:rPr>
              <w:t>articulates understanding of how and why texts are echoed, appropriated and valued in a range of contexts</w:t>
            </w:r>
          </w:p>
        </w:tc>
      </w:tr>
      <w:tr w:rsidR="001F1AF6" w:rsidRPr="00BC1DCD" w:rsidTr="002256A5">
        <w:trPr>
          <w:cantSplit/>
        </w:trPr>
        <w:tc>
          <w:tcPr>
            <w:tcW w:w="9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756A93" w:rsidRDefault="00756A93" w:rsidP="00BC1DCD">
            <w:pPr>
              <w:rPr>
                <w:b/>
                <w:sz w:val="22"/>
                <w:szCs w:val="22"/>
              </w:rPr>
            </w:pPr>
            <w:r w:rsidRPr="00756A93">
              <w:rPr>
                <w:b/>
                <w:sz w:val="22"/>
                <w:szCs w:val="22"/>
              </w:rPr>
              <w:t>Nature of the task</w:t>
            </w:r>
          </w:p>
          <w:p w:rsidR="00F50863" w:rsidRDefault="006A7C8B" w:rsidP="00A57E58">
            <w:pP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You are to </w:t>
            </w:r>
            <w:r w:rsidR="00A57E58" w:rsidRPr="00756A93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compose a </w:t>
            </w:r>
            <w: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1500 word critical essay in response to the following: </w:t>
            </w:r>
          </w:p>
          <w:p w:rsidR="00F50863" w:rsidRDefault="00F50863" w:rsidP="00A57E58">
            <w:pP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</w:pPr>
          </w:p>
          <w:p w:rsidR="00F50863" w:rsidRDefault="008B77B7" w:rsidP="00A57E58">
            <w:pP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In</w:t>
            </w:r>
            <w:r w:rsidR="009449A2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="009449A2"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Lindqvist’s</w:t>
            </w:r>
            <w:proofErr w:type="spellEnd"/>
            <w: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eastAsia="en-AU"/>
              </w:rPr>
              <w:t>Exterminate the Brutes</w:t>
            </w:r>
            <w: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 xml:space="preserve"> we encounter the ghosts of Conrad’s </w:t>
            </w: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eastAsia="en-AU"/>
              </w:rPr>
              <w:t>Heart of Darkness</w:t>
            </w:r>
            <w: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.</w:t>
            </w:r>
          </w:p>
          <w:p w:rsidR="00DB1119" w:rsidRPr="008B77B7" w:rsidRDefault="00DB1119" w:rsidP="00A57E58">
            <w:pP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</w:pPr>
          </w:p>
          <w:p w:rsidR="00A57E58" w:rsidRPr="00756A93" w:rsidRDefault="008B77B7" w:rsidP="006A7C8B">
            <w:pPr>
              <w:rPr>
                <w:rFonts w:eastAsia="Times New Roman" w:cs="Arial"/>
                <w:b/>
                <w:iCs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="Arial"/>
                <w:iCs/>
                <w:color w:val="000000"/>
                <w:sz w:val="22"/>
                <w:szCs w:val="22"/>
                <w:lang w:eastAsia="en-AU"/>
              </w:rPr>
              <w:t>To what extent does this statement reflect your understanding of the relationship between both texts?</w:t>
            </w:r>
          </w:p>
          <w:p w:rsidR="006A7C8B" w:rsidRPr="00756A93" w:rsidRDefault="006A7C8B" w:rsidP="00C6115F">
            <w:pPr>
              <w:spacing w:line="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F1E82" w:rsidRPr="00BC1DCD" w:rsidTr="002256A5">
        <w:trPr>
          <w:cantSplit/>
        </w:trPr>
        <w:tc>
          <w:tcPr>
            <w:tcW w:w="9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82" w:rsidRPr="00756A93" w:rsidRDefault="00756A93" w:rsidP="00BC1DCD">
            <w:pPr>
              <w:rPr>
                <w:b/>
                <w:sz w:val="22"/>
                <w:szCs w:val="22"/>
              </w:rPr>
            </w:pPr>
            <w:r w:rsidRPr="00756A93">
              <w:rPr>
                <w:b/>
                <w:sz w:val="22"/>
                <w:szCs w:val="22"/>
              </w:rPr>
              <w:t>Marking criteria</w:t>
            </w:r>
          </w:p>
          <w:p w:rsidR="00756A93" w:rsidRPr="00756A93" w:rsidRDefault="00756A93" w:rsidP="00BC1DCD">
            <w:pPr>
              <w:rPr>
                <w:sz w:val="22"/>
                <w:szCs w:val="22"/>
              </w:rPr>
            </w:pPr>
            <w:r w:rsidRPr="00756A93">
              <w:rPr>
                <w:sz w:val="22"/>
                <w:szCs w:val="22"/>
              </w:rPr>
              <w:t>You will be marked on your ability to:</w:t>
            </w:r>
          </w:p>
          <w:p w:rsidR="001F1E82" w:rsidRDefault="006A7C8B" w:rsidP="006A7C8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evaluate the statement in light of your comparison of both texts</w:t>
            </w:r>
          </w:p>
          <w:p w:rsidR="006A7C8B" w:rsidRDefault="006A7C8B" w:rsidP="006A7C8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use textual details to support your exploration of the relationship between both texts</w:t>
            </w:r>
          </w:p>
          <w:p w:rsidR="001F1E82" w:rsidRPr="00DB1119" w:rsidRDefault="006A7C8B" w:rsidP="00BC1DCD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express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your understanding using the appropriate form and language.</w:t>
            </w:r>
          </w:p>
        </w:tc>
      </w:tr>
      <w:tr w:rsidR="001F1AF6" w:rsidRPr="00BC1DCD" w:rsidTr="002256A5">
        <w:trPr>
          <w:cantSplit/>
        </w:trPr>
        <w:tc>
          <w:tcPr>
            <w:tcW w:w="9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756A93" w:rsidRDefault="00756A93" w:rsidP="00BC1DCD">
            <w:pPr>
              <w:rPr>
                <w:b/>
                <w:sz w:val="22"/>
                <w:szCs w:val="22"/>
              </w:rPr>
            </w:pPr>
            <w:r w:rsidRPr="00756A93">
              <w:rPr>
                <w:b/>
                <w:sz w:val="22"/>
                <w:szCs w:val="22"/>
              </w:rPr>
              <w:t>Feedback provided</w:t>
            </w:r>
          </w:p>
          <w:p w:rsidR="001F1AF6" w:rsidRPr="00756A93" w:rsidRDefault="00DB1119" w:rsidP="00BC1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Students will be provided with written feedback on their scripts as well as overall comments about the strengths of the response and areas for further development.</w:t>
            </w:r>
          </w:p>
        </w:tc>
      </w:tr>
    </w:tbl>
    <w:p w:rsidR="006A7C8B" w:rsidRDefault="006A7C8B">
      <w:pPr>
        <w:rPr>
          <w:rFonts w:cs="Arial"/>
          <w:szCs w:val="24"/>
        </w:rPr>
      </w:pPr>
    </w:p>
    <w:p w:rsidR="006A7C8B" w:rsidRDefault="006A7C8B" w:rsidP="006A7C8B">
      <w:r>
        <w:br w:type="page"/>
      </w:r>
    </w:p>
    <w:p w:rsidR="001F1AF6" w:rsidRDefault="006A7C8B" w:rsidP="006A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Marking guidelines</w:t>
      </w:r>
    </w:p>
    <w:tbl>
      <w:tblPr>
        <w:tblStyle w:val="TableGrid2"/>
        <w:tblW w:w="0" w:type="auto"/>
        <w:tblLook w:val="04A0" w:firstRow="1" w:lastRow="0" w:firstColumn="1" w:lastColumn="0" w:noHBand="0" w:noVBand="1"/>
        <w:tblCaption w:val="Marking guidelines"/>
      </w:tblPr>
      <w:tblGrid>
        <w:gridCol w:w="9180"/>
        <w:gridCol w:w="1502"/>
      </w:tblGrid>
      <w:tr w:rsidR="006A7C8B" w:rsidRPr="000D466F" w:rsidTr="00D27632">
        <w:tc>
          <w:tcPr>
            <w:tcW w:w="9180" w:type="dxa"/>
          </w:tcPr>
          <w:p w:rsidR="006A7C8B" w:rsidRPr="000D466F" w:rsidRDefault="006A7C8B" w:rsidP="00D27632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0D466F">
              <w:rPr>
                <w:rFonts w:cs="Arial"/>
                <w:b/>
                <w:sz w:val="22"/>
                <w:szCs w:val="22"/>
              </w:rPr>
              <w:t>A student:</w:t>
            </w:r>
          </w:p>
        </w:tc>
        <w:tc>
          <w:tcPr>
            <w:tcW w:w="1502" w:type="dxa"/>
          </w:tcPr>
          <w:p w:rsidR="006A7C8B" w:rsidRPr="000D466F" w:rsidRDefault="006A7C8B" w:rsidP="00D27632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0D466F">
              <w:rPr>
                <w:rFonts w:cs="Arial"/>
                <w:b/>
                <w:sz w:val="22"/>
                <w:szCs w:val="22"/>
              </w:rPr>
              <w:t>Mark range</w:t>
            </w:r>
          </w:p>
        </w:tc>
      </w:tr>
      <w:tr w:rsidR="006A7C8B" w:rsidRPr="005C6FF8" w:rsidTr="00D27632">
        <w:tc>
          <w:tcPr>
            <w:tcW w:w="9180" w:type="dxa"/>
          </w:tcPr>
          <w:p w:rsidR="006A7C8B" w:rsidRPr="005C6FF8" w:rsidRDefault="005C6FF8" w:rsidP="006A7C8B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5C6FF8">
              <w:rPr>
                <w:rFonts w:cs="Arial"/>
                <w:sz w:val="22"/>
                <w:szCs w:val="22"/>
              </w:rPr>
              <w:t xml:space="preserve">sustains a </w:t>
            </w:r>
            <w:r w:rsidR="0035206E" w:rsidRPr="005C6FF8">
              <w:rPr>
                <w:rFonts w:cs="Arial"/>
                <w:sz w:val="22"/>
                <w:szCs w:val="22"/>
              </w:rPr>
              <w:t>well-developed thesis in relation to the question</w:t>
            </w:r>
          </w:p>
          <w:p w:rsidR="0035206E" w:rsidRPr="005C6FF8" w:rsidRDefault="00C45407" w:rsidP="006A7C8B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5C6FF8">
              <w:rPr>
                <w:rFonts w:cs="Arial"/>
                <w:sz w:val="22"/>
                <w:szCs w:val="22"/>
              </w:rPr>
              <w:t>demonstrates</w:t>
            </w:r>
            <w:r w:rsidR="0035206E" w:rsidRPr="005C6FF8">
              <w:rPr>
                <w:rFonts w:cs="Arial"/>
                <w:sz w:val="22"/>
                <w:szCs w:val="22"/>
              </w:rPr>
              <w:t xml:space="preserve"> an insightful understanding of </w:t>
            </w:r>
            <w:r w:rsidR="00E41C64" w:rsidRPr="005C6FF8">
              <w:rPr>
                <w:rFonts w:cs="Arial"/>
                <w:sz w:val="22"/>
                <w:szCs w:val="22"/>
              </w:rPr>
              <w:t xml:space="preserve">the </w:t>
            </w:r>
            <w:r w:rsidR="0035206E" w:rsidRPr="005C6FF8">
              <w:rPr>
                <w:rFonts w:cs="Arial"/>
                <w:sz w:val="22"/>
                <w:szCs w:val="22"/>
              </w:rPr>
              <w:t>textual detail in both texts</w:t>
            </w:r>
            <w:r w:rsidR="00E41C64" w:rsidRPr="005C6FF8">
              <w:rPr>
                <w:rFonts w:cs="Arial"/>
                <w:sz w:val="22"/>
                <w:szCs w:val="22"/>
              </w:rPr>
              <w:t xml:space="preserve"> in order to support claims</w:t>
            </w:r>
          </w:p>
          <w:p w:rsidR="0035206E" w:rsidRPr="005C6FF8" w:rsidRDefault="0035206E" w:rsidP="005C6FF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</w:rPr>
            </w:pPr>
            <w:proofErr w:type="gramStart"/>
            <w:r w:rsidRPr="005C6FF8">
              <w:rPr>
                <w:rFonts w:cs="Arial"/>
                <w:sz w:val="22"/>
                <w:szCs w:val="22"/>
              </w:rPr>
              <w:t>demonstrates</w:t>
            </w:r>
            <w:proofErr w:type="gramEnd"/>
            <w:r w:rsidRPr="005C6FF8">
              <w:rPr>
                <w:rFonts w:cs="Arial"/>
                <w:sz w:val="22"/>
                <w:szCs w:val="22"/>
              </w:rPr>
              <w:t xml:space="preserve"> mastery of language and structure in com</w:t>
            </w:r>
            <w:r w:rsidR="00E41C64" w:rsidRPr="005C6FF8">
              <w:rPr>
                <w:rFonts w:cs="Arial"/>
                <w:sz w:val="22"/>
                <w:szCs w:val="22"/>
              </w:rPr>
              <w:t xml:space="preserve">posing </w:t>
            </w:r>
            <w:r w:rsidR="005C6FF8">
              <w:rPr>
                <w:rFonts w:cs="Arial"/>
                <w:sz w:val="22"/>
                <w:szCs w:val="22"/>
              </w:rPr>
              <w:t xml:space="preserve">a </w:t>
            </w:r>
            <w:r w:rsidR="00E41C64" w:rsidRPr="005C6FF8">
              <w:rPr>
                <w:rFonts w:cs="Arial"/>
                <w:sz w:val="22"/>
                <w:szCs w:val="22"/>
              </w:rPr>
              <w:t>critical essay.</w:t>
            </w:r>
          </w:p>
        </w:tc>
        <w:tc>
          <w:tcPr>
            <w:tcW w:w="1502" w:type="dxa"/>
          </w:tcPr>
          <w:p w:rsidR="006A7C8B" w:rsidRPr="005C6FF8" w:rsidRDefault="006A7C8B" w:rsidP="00D2763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5C6FF8">
              <w:rPr>
                <w:rFonts w:cs="Arial"/>
                <w:sz w:val="22"/>
                <w:szCs w:val="22"/>
              </w:rPr>
              <w:t>12-15</w:t>
            </w:r>
          </w:p>
        </w:tc>
      </w:tr>
      <w:tr w:rsidR="006A7C8B" w:rsidRPr="005C6FF8" w:rsidTr="00D27632">
        <w:tc>
          <w:tcPr>
            <w:tcW w:w="9180" w:type="dxa"/>
          </w:tcPr>
          <w:p w:rsidR="00E41C64" w:rsidRPr="005C6FF8" w:rsidRDefault="005C6FF8" w:rsidP="00E41C6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5C6FF8">
              <w:rPr>
                <w:rFonts w:cs="Arial"/>
                <w:sz w:val="22"/>
                <w:szCs w:val="22"/>
              </w:rPr>
              <w:t xml:space="preserve">sustains a </w:t>
            </w:r>
            <w:r w:rsidR="00E41C64" w:rsidRPr="005C6FF8">
              <w:rPr>
                <w:rFonts w:cs="Arial"/>
                <w:sz w:val="22"/>
                <w:szCs w:val="22"/>
              </w:rPr>
              <w:t>developed thesis in relation to the question</w:t>
            </w:r>
          </w:p>
          <w:p w:rsidR="00E41C64" w:rsidRPr="005C6FF8" w:rsidRDefault="00C45407" w:rsidP="00E41C6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5C6FF8">
              <w:rPr>
                <w:rFonts w:cs="Arial"/>
                <w:sz w:val="22"/>
                <w:szCs w:val="22"/>
              </w:rPr>
              <w:t>demonstrates</w:t>
            </w:r>
            <w:r w:rsidR="00E41C64" w:rsidRPr="005C6FF8">
              <w:rPr>
                <w:rFonts w:cs="Arial"/>
                <w:sz w:val="22"/>
                <w:szCs w:val="22"/>
              </w:rPr>
              <w:t xml:space="preserve"> a comprehensive understanding of the textual detail in both texts in in order to support claims</w:t>
            </w:r>
          </w:p>
          <w:p w:rsidR="006A7C8B" w:rsidRPr="005C6FF8" w:rsidRDefault="00E41C64" w:rsidP="00E41C6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</w:rPr>
            </w:pPr>
            <w:proofErr w:type="gramStart"/>
            <w:r w:rsidRPr="005C6FF8">
              <w:rPr>
                <w:rFonts w:cs="Arial"/>
                <w:sz w:val="22"/>
                <w:szCs w:val="22"/>
              </w:rPr>
              <w:t>demonstrates</w:t>
            </w:r>
            <w:proofErr w:type="gramEnd"/>
            <w:r w:rsidRPr="005C6FF8">
              <w:rPr>
                <w:rFonts w:cs="Arial"/>
                <w:sz w:val="22"/>
                <w:szCs w:val="22"/>
              </w:rPr>
              <w:t xml:space="preserve"> well-developed control of language and structure in composing </w:t>
            </w:r>
            <w:r w:rsidR="005C6FF8">
              <w:rPr>
                <w:rFonts w:cs="Arial"/>
                <w:sz w:val="22"/>
                <w:szCs w:val="22"/>
              </w:rPr>
              <w:t>a critical essay</w:t>
            </w:r>
            <w:r w:rsidRPr="005C6FF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6A7C8B" w:rsidRPr="005C6FF8" w:rsidRDefault="006A7C8B" w:rsidP="00D2763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5C6FF8">
              <w:rPr>
                <w:rFonts w:cs="Arial"/>
                <w:sz w:val="22"/>
                <w:szCs w:val="22"/>
              </w:rPr>
              <w:t>8-11</w:t>
            </w:r>
          </w:p>
        </w:tc>
      </w:tr>
      <w:tr w:rsidR="006A7C8B" w:rsidRPr="005C6FF8" w:rsidTr="00D27632">
        <w:tc>
          <w:tcPr>
            <w:tcW w:w="9180" w:type="dxa"/>
          </w:tcPr>
          <w:p w:rsidR="00E41C64" w:rsidRPr="005C6FF8" w:rsidRDefault="005C6FF8" w:rsidP="00E41C6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5C6FF8">
              <w:rPr>
                <w:rFonts w:cs="Arial"/>
                <w:sz w:val="22"/>
                <w:szCs w:val="22"/>
              </w:rPr>
              <w:t>sustains a</w:t>
            </w:r>
            <w:r w:rsidR="00C45407" w:rsidRPr="005C6FF8">
              <w:rPr>
                <w:rFonts w:cs="Arial"/>
                <w:sz w:val="22"/>
                <w:szCs w:val="22"/>
              </w:rPr>
              <w:t xml:space="preserve"> </w:t>
            </w:r>
            <w:r w:rsidR="00E41C64" w:rsidRPr="005C6FF8">
              <w:rPr>
                <w:rFonts w:cs="Arial"/>
                <w:sz w:val="22"/>
                <w:szCs w:val="22"/>
              </w:rPr>
              <w:t>sound thesis in relation to the question</w:t>
            </w:r>
          </w:p>
          <w:p w:rsidR="00E41C64" w:rsidRPr="005C6FF8" w:rsidRDefault="00C45407" w:rsidP="00E41C6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5C6FF8">
              <w:rPr>
                <w:rFonts w:cs="Arial"/>
                <w:sz w:val="22"/>
                <w:szCs w:val="22"/>
              </w:rPr>
              <w:t>demonstrates</w:t>
            </w:r>
            <w:r w:rsidR="00E41C64" w:rsidRPr="005C6FF8">
              <w:rPr>
                <w:rFonts w:cs="Arial"/>
                <w:sz w:val="22"/>
                <w:szCs w:val="22"/>
              </w:rPr>
              <w:t xml:space="preserve"> a satisfactory understanding of the textual detail in both texts in in order to support claims</w:t>
            </w:r>
          </w:p>
          <w:p w:rsidR="006A7C8B" w:rsidRPr="005C6FF8" w:rsidRDefault="00E41C64" w:rsidP="00E41C6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</w:rPr>
            </w:pPr>
            <w:proofErr w:type="gramStart"/>
            <w:r w:rsidRPr="005C6FF8">
              <w:rPr>
                <w:rFonts w:cs="Arial"/>
                <w:sz w:val="22"/>
                <w:szCs w:val="22"/>
              </w:rPr>
              <w:t>demonstrates</w:t>
            </w:r>
            <w:proofErr w:type="gramEnd"/>
            <w:r w:rsidRPr="005C6FF8">
              <w:rPr>
                <w:rFonts w:cs="Arial"/>
                <w:sz w:val="22"/>
                <w:szCs w:val="22"/>
              </w:rPr>
              <w:t xml:space="preserve"> adequate control of language and structure in composing </w:t>
            </w:r>
            <w:r w:rsidR="005C6FF8">
              <w:rPr>
                <w:rFonts w:cs="Arial"/>
                <w:sz w:val="22"/>
                <w:szCs w:val="22"/>
              </w:rPr>
              <w:t>a critical essay</w:t>
            </w:r>
            <w:r w:rsidRPr="005C6FF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6A7C8B" w:rsidRPr="005C6FF8" w:rsidRDefault="006A7C8B" w:rsidP="00D2763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5C6FF8">
              <w:rPr>
                <w:rFonts w:cs="Arial"/>
                <w:sz w:val="22"/>
                <w:szCs w:val="22"/>
              </w:rPr>
              <w:t>4-7</w:t>
            </w:r>
          </w:p>
        </w:tc>
      </w:tr>
      <w:tr w:rsidR="006A7C8B" w:rsidRPr="005C6FF8" w:rsidTr="00D27632">
        <w:tc>
          <w:tcPr>
            <w:tcW w:w="9180" w:type="dxa"/>
          </w:tcPr>
          <w:p w:rsidR="00E41C64" w:rsidRPr="005C6FF8" w:rsidRDefault="00E41C64" w:rsidP="00E41C6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5C6FF8">
              <w:rPr>
                <w:rFonts w:cs="Arial"/>
                <w:sz w:val="22"/>
                <w:szCs w:val="22"/>
              </w:rPr>
              <w:t>attempts to sustain a thesis in relation to the question</w:t>
            </w:r>
          </w:p>
          <w:p w:rsidR="00E41C64" w:rsidRPr="005C6FF8" w:rsidRDefault="00C45407" w:rsidP="00E41C6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5C6FF8">
              <w:rPr>
                <w:rFonts w:cs="Arial"/>
                <w:sz w:val="22"/>
                <w:szCs w:val="22"/>
              </w:rPr>
              <w:t>demonstrates a basic</w:t>
            </w:r>
            <w:r w:rsidR="00E41C64" w:rsidRPr="005C6FF8">
              <w:rPr>
                <w:rFonts w:cs="Arial"/>
                <w:sz w:val="22"/>
                <w:szCs w:val="22"/>
              </w:rPr>
              <w:t xml:space="preserve"> understanding of the textual detail in both texts in in order to support claims</w:t>
            </w:r>
          </w:p>
          <w:p w:rsidR="006A7C8B" w:rsidRPr="005C6FF8" w:rsidRDefault="00E41C64" w:rsidP="005C6FF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</w:rPr>
            </w:pPr>
            <w:proofErr w:type="gramStart"/>
            <w:r w:rsidRPr="005C6FF8">
              <w:rPr>
                <w:rFonts w:cs="Arial"/>
                <w:sz w:val="22"/>
                <w:szCs w:val="22"/>
              </w:rPr>
              <w:t>demonstrates</w:t>
            </w:r>
            <w:proofErr w:type="gramEnd"/>
            <w:r w:rsidRPr="005C6FF8">
              <w:rPr>
                <w:rFonts w:cs="Arial"/>
                <w:sz w:val="22"/>
                <w:szCs w:val="22"/>
              </w:rPr>
              <w:t xml:space="preserve"> some control of language and structure in composing</w:t>
            </w:r>
            <w:r w:rsidR="005C6FF8">
              <w:rPr>
                <w:rFonts w:cs="Arial"/>
                <w:sz w:val="22"/>
                <w:szCs w:val="22"/>
              </w:rPr>
              <w:t xml:space="preserve"> a</w:t>
            </w:r>
            <w:r w:rsidRPr="005C6FF8">
              <w:rPr>
                <w:rFonts w:cs="Arial"/>
                <w:sz w:val="22"/>
                <w:szCs w:val="22"/>
              </w:rPr>
              <w:t xml:space="preserve"> critical essay.</w:t>
            </w:r>
          </w:p>
        </w:tc>
        <w:tc>
          <w:tcPr>
            <w:tcW w:w="1502" w:type="dxa"/>
          </w:tcPr>
          <w:p w:rsidR="006A7C8B" w:rsidRPr="005C6FF8" w:rsidRDefault="006A7C8B" w:rsidP="00D2763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5C6FF8">
              <w:rPr>
                <w:rFonts w:cs="Arial"/>
                <w:sz w:val="22"/>
                <w:szCs w:val="22"/>
              </w:rPr>
              <w:t>1-3</w:t>
            </w:r>
          </w:p>
        </w:tc>
      </w:tr>
    </w:tbl>
    <w:p w:rsidR="006A7C8B" w:rsidRPr="006A7C8B" w:rsidRDefault="006A7C8B" w:rsidP="006A7C8B">
      <w:pPr>
        <w:rPr>
          <w:rFonts w:cs="Arial"/>
          <w:b/>
          <w:szCs w:val="24"/>
        </w:rPr>
      </w:pPr>
    </w:p>
    <w:sectPr w:rsidR="006A7C8B" w:rsidRPr="006A7C8B" w:rsidSect="0022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E61"/>
    <w:multiLevelType w:val="hybridMultilevel"/>
    <w:tmpl w:val="4BAC9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F2BFF"/>
    <w:multiLevelType w:val="hybridMultilevel"/>
    <w:tmpl w:val="131EE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32D31"/>
    <w:rsid w:val="000A04C7"/>
    <w:rsid w:val="00102497"/>
    <w:rsid w:val="00102D6A"/>
    <w:rsid w:val="00104F4A"/>
    <w:rsid w:val="0012526D"/>
    <w:rsid w:val="00197AAF"/>
    <w:rsid w:val="001A0A7B"/>
    <w:rsid w:val="001B0BC1"/>
    <w:rsid w:val="001E4A45"/>
    <w:rsid w:val="001F1AF6"/>
    <w:rsid w:val="001F1E82"/>
    <w:rsid w:val="00206874"/>
    <w:rsid w:val="002256A5"/>
    <w:rsid w:val="002409CE"/>
    <w:rsid w:val="00252839"/>
    <w:rsid w:val="002A34DF"/>
    <w:rsid w:val="002A6C62"/>
    <w:rsid w:val="002D2B1F"/>
    <w:rsid w:val="00323333"/>
    <w:rsid w:val="0035206E"/>
    <w:rsid w:val="003A227D"/>
    <w:rsid w:val="004D0185"/>
    <w:rsid w:val="004E7280"/>
    <w:rsid w:val="005C6FF8"/>
    <w:rsid w:val="00693BC1"/>
    <w:rsid w:val="006A7C8B"/>
    <w:rsid w:val="006D0321"/>
    <w:rsid w:val="00723FEF"/>
    <w:rsid w:val="00756A93"/>
    <w:rsid w:val="007708D0"/>
    <w:rsid w:val="00874286"/>
    <w:rsid w:val="008B77B7"/>
    <w:rsid w:val="008F7575"/>
    <w:rsid w:val="009449A2"/>
    <w:rsid w:val="009A3F0D"/>
    <w:rsid w:val="00A22E10"/>
    <w:rsid w:val="00A57E58"/>
    <w:rsid w:val="00AA0A65"/>
    <w:rsid w:val="00AF6C1E"/>
    <w:rsid w:val="00BC1DCD"/>
    <w:rsid w:val="00C079E3"/>
    <w:rsid w:val="00C45407"/>
    <w:rsid w:val="00C6115F"/>
    <w:rsid w:val="00D21066"/>
    <w:rsid w:val="00D3062E"/>
    <w:rsid w:val="00DA4867"/>
    <w:rsid w:val="00DB1119"/>
    <w:rsid w:val="00E052A8"/>
    <w:rsid w:val="00E41C64"/>
    <w:rsid w:val="00F37D02"/>
    <w:rsid w:val="00F5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6A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6A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B2FB-42FD-4833-9ECA-4F4B17A0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Education Standards Authority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6 English Extension Year 11 sample assessment task - Comparative Essay</dc:title>
  <dc:creator>NSW Education Standards Authority</dc:creator>
  <cp:lastModifiedBy>Stefanie Lia</cp:lastModifiedBy>
  <cp:revision>11</cp:revision>
  <dcterms:created xsi:type="dcterms:W3CDTF">2017-02-03T03:13:00Z</dcterms:created>
  <dcterms:modified xsi:type="dcterms:W3CDTF">2018-02-16T00:59:00Z</dcterms:modified>
</cp:coreProperties>
</file>