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083C" w14:textId="77777777" w:rsidR="002409CE" w:rsidRDefault="001F1E82" w:rsidP="00DC045C">
      <w:pPr>
        <w:pStyle w:val="Heading1"/>
        <w:spacing w:line="240" w:lineRule="auto"/>
        <w:rPr>
          <w:b w:val="0"/>
        </w:rPr>
      </w:pPr>
      <w:r w:rsidRPr="006D0321">
        <w:t xml:space="preserve">Sample </w:t>
      </w:r>
      <w:r w:rsidR="000118AE" w:rsidRPr="006D0321">
        <w:t>Formal Assessment Task Notification</w:t>
      </w:r>
      <w:r w:rsidR="006D0321">
        <w:rPr>
          <w:b w:val="0"/>
        </w:rPr>
        <w:t xml:space="preserve"> </w:t>
      </w:r>
    </w:p>
    <w:p w14:paraId="0E6AFE41" w14:textId="6507FF9D" w:rsidR="001F1AF6" w:rsidRDefault="00FF3665" w:rsidP="00DC045C">
      <w:pPr>
        <w:pStyle w:val="Heading1"/>
        <w:spacing w:line="240" w:lineRule="auto"/>
      </w:pPr>
      <w:r>
        <w:t>Modern History</w:t>
      </w:r>
      <w:r w:rsidR="00AA0A65" w:rsidRPr="006D0321">
        <w:t xml:space="preserve"> – Year</w:t>
      </w:r>
      <w:r>
        <w:t xml:space="preserve"> 11</w:t>
      </w:r>
    </w:p>
    <w:p w14:paraId="68999AEB" w14:textId="0390B28D" w:rsidR="00DC305F" w:rsidRPr="00DC305F" w:rsidRDefault="00DC305F" w:rsidP="00DC045C">
      <w:pPr>
        <w:spacing w:line="240" w:lineRule="auto"/>
        <w:jc w:val="center"/>
        <w:rPr>
          <w:b/>
          <w:sz w:val="28"/>
        </w:rPr>
      </w:pPr>
      <w:r w:rsidRPr="00DC305F">
        <w:rPr>
          <w:b/>
          <w:sz w:val="28"/>
        </w:rPr>
        <w:t>The Construction of Modern Histories (Pemulwuy) – The Age of Imperialism</w:t>
      </w:r>
    </w:p>
    <w:p w14:paraId="7EE62956" w14:textId="6EF0C914" w:rsidR="005311B1" w:rsidRDefault="005311B1" w:rsidP="00DC045C">
      <w:pPr>
        <w:spacing w:line="240" w:lineRule="auto"/>
        <w:jc w:val="center"/>
        <w:rPr>
          <w:b/>
          <w:i/>
          <w:sz w:val="20"/>
        </w:rPr>
      </w:pPr>
      <w:r w:rsidRPr="00B071AF">
        <w:rPr>
          <w:b/>
          <w:i/>
          <w:sz w:val="20"/>
        </w:rPr>
        <w:t>Sample for implementation for Year 11 from 2018</w:t>
      </w:r>
    </w:p>
    <w:p w14:paraId="73A4A74A" w14:textId="77777777" w:rsidR="007E0276" w:rsidRPr="00230AC6" w:rsidRDefault="007E0276" w:rsidP="00DC045C">
      <w:pPr>
        <w:spacing w:line="240" w:lineRule="auto"/>
        <w:rPr>
          <w:b/>
          <w:sz w:val="22"/>
          <w:szCs w:val="22"/>
        </w:rPr>
      </w:pPr>
      <w:r w:rsidRPr="00230AC6">
        <w:rPr>
          <w:b/>
          <w:sz w:val="22"/>
          <w:szCs w:val="22"/>
        </w:rPr>
        <w:t>Context</w:t>
      </w:r>
    </w:p>
    <w:p w14:paraId="0EB2B2F4" w14:textId="503F8E89" w:rsidR="007E0276" w:rsidRPr="00AD55B2" w:rsidRDefault="007E0276" w:rsidP="007E0276">
      <w:pPr>
        <w:rPr>
          <w:sz w:val="22"/>
          <w:szCs w:val="22"/>
        </w:rPr>
      </w:pPr>
      <w:r w:rsidRPr="00AD55B2">
        <w:rPr>
          <w:sz w:val="22"/>
          <w:szCs w:val="22"/>
        </w:rPr>
        <w:t xml:space="preserve">In class, students have investigated </w:t>
      </w:r>
      <w:r w:rsidR="008E79AB">
        <w:rPr>
          <w:sz w:val="22"/>
          <w:szCs w:val="22"/>
        </w:rPr>
        <w:t>t</w:t>
      </w:r>
      <w:r>
        <w:rPr>
          <w:sz w:val="22"/>
          <w:szCs w:val="22"/>
        </w:rPr>
        <w:t xml:space="preserve">he Construction of Modern Histories through an integrated study with </w:t>
      </w:r>
      <w:r w:rsidR="008E79AB">
        <w:rPr>
          <w:sz w:val="22"/>
          <w:szCs w:val="22"/>
        </w:rPr>
        <w:t>t</w:t>
      </w:r>
      <w:r>
        <w:rPr>
          <w:sz w:val="22"/>
          <w:szCs w:val="22"/>
        </w:rPr>
        <w:t>he Age of Imperialism. This task presents an opportunity for stu</w:t>
      </w:r>
      <w:r w:rsidR="008E79AB">
        <w:rPr>
          <w:sz w:val="22"/>
          <w:szCs w:val="22"/>
        </w:rPr>
        <w:t>dents to investigate the role</w:t>
      </w:r>
      <w:r>
        <w:rPr>
          <w:sz w:val="22"/>
          <w:szCs w:val="22"/>
        </w:rPr>
        <w:t xml:space="preserve"> of Pemulwuy,</w:t>
      </w:r>
      <w:r w:rsidR="008E79AB">
        <w:rPr>
          <w:sz w:val="22"/>
          <w:szCs w:val="22"/>
        </w:rPr>
        <w:t xml:space="preserve"> in the context of his time,</w:t>
      </w:r>
      <w:r>
        <w:rPr>
          <w:sz w:val="22"/>
          <w:szCs w:val="22"/>
        </w:rPr>
        <w:t xml:space="preserve"> through an investigation of the methods and issues associated with constructing accounts about the past.</w:t>
      </w: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BC1DCD" w14:paraId="7AF4C2F9" w14:textId="77777777" w:rsidTr="00D87998">
        <w:trPr>
          <w:cantSplit/>
          <w:tblHeader/>
        </w:trPr>
        <w:tc>
          <w:tcPr>
            <w:tcW w:w="34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8AFAC" w14:textId="63790184" w:rsidR="001F1AF6" w:rsidRPr="009B12D1" w:rsidRDefault="001F1AF6" w:rsidP="00496A8D">
            <w:pPr>
              <w:spacing w:before="60" w:after="60"/>
              <w:rPr>
                <w:b/>
                <w:sz w:val="22"/>
                <w:szCs w:val="22"/>
              </w:rPr>
            </w:pPr>
            <w:r w:rsidRPr="009B12D1">
              <w:rPr>
                <w:b/>
                <w:sz w:val="22"/>
                <w:szCs w:val="22"/>
              </w:rPr>
              <w:t>Task</w:t>
            </w:r>
            <w:r w:rsidR="003A227D" w:rsidRPr="009B12D1">
              <w:rPr>
                <w:b/>
                <w:sz w:val="22"/>
                <w:szCs w:val="22"/>
              </w:rPr>
              <w:t xml:space="preserve"> number</w:t>
            </w:r>
            <w:r w:rsidRPr="009B12D1">
              <w:rPr>
                <w:b/>
                <w:sz w:val="22"/>
                <w:szCs w:val="22"/>
              </w:rPr>
              <w:t>:</w:t>
            </w:r>
            <w:r w:rsidR="002256A5" w:rsidRPr="009B12D1">
              <w:rPr>
                <w:b/>
                <w:sz w:val="22"/>
                <w:szCs w:val="22"/>
              </w:rPr>
              <w:t xml:space="preserve"> </w:t>
            </w:r>
            <w:r w:rsidR="00AA69F6" w:rsidRPr="00AA69F6">
              <w:rPr>
                <w:sz w:val="22"/>
                <w:szCs w:val="22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82BD5" w14:textId="1585706B" w:rsidR="001F1AF6" w:rsidRPr="009B12D1" w:rsidRDefault="001F1AF6" w:rsidP="00496A8D">
            <w:pPr>
              <w:spacing w:before="60" w:after="60"/>
              <w:rPr>
                <w:b/>
                <w:sz w:val="22"/>
                <w:szCs w:val="22"/>
              </w:rPr>
            </w:pPr>
            <w:r w:rsidRPr="009B12D1">
              <w:rPr>
                <w:b/>
                <w:sz w:val="22"/>
                <w:szCs w:val="22"/>
              </w:rPr>
              <w:t>Weighting:</w:t>
            </w:r>
            <w:r w:rsidR="002256A5" w:rsidRPr="009B12D1">
              <w:rPr>
                <w:b/>
                <w:sz w:val="22"/>
                <w:szCs w:val="22"/>
              </w:rPr>
              <w:t xml:space="preserve"> </w:t>
            </w:r>
            <w:r w:rsidR="00FD53D2">
              <w:rPr>
                <w:sz w:val="22"/>
                <w:szCs w:val="22"/>
              </w:rPr>
              <w:t>40</w:t>
            </w:r>
            <w:r w:rsidR="009B12D1" w:rsidRPr="00FD53D2">
              <w:rPr>
                <w:sz w:val="22"/>
                <w:szCs w:val="22"/>
              </w:rPr>
              <w:t>%</w:t>
            </w:r>
          </w:p>
        </w:tc>
        <w:tc>
          <w:tcPr>
            <w:tcW w:w="34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655C3" w14:textId="6505A7B6" w:rsidR="001F1AF6" w:rsidRPr="009B12D1" w:rsidRDefault="001F1AF6" w:rsidP="00496A8D">
            <w:pPr>
              <w:spacing w:before="60" w:after="60"/>
              <w:rPr>
                <w:b/>
                <w:sz w:val="22"/>
                <w:szCs w:val="22"/>
              </w:rPr>
            </w:pPr>
            <w:r w:rsidRPr="009B12D1">
              <w:rPr>
                <w:b/>
                <w:sz w:val="22"/>
                <w:szCs w:val="22"/>
              </w:rPr>
              <w:t>Timing:</w:t>
            </w:r>
            <w:r w:rsidR="002256A5" w:rsidRPr="009B12D1">
              <w:rPr>
                <w:b/>
                <w:sz w:val="22"/>
                <w:szCs w:val="22"/>
              </w:rPr>
              <w:t xml:space="preserve"> </w:t>
            </w:r>
            <w:r w:rsidR="00AA69F6">
              <w:rPr>
                <w:sz w:val="22"/>
                <w:szCs w:val="22"/>
              </w:rPr>
              <w:t>Term 2, Week 7</w:t>
            </w:r>
          </w:p>
        </w:tc>
      </w:tr>
      <w:tr w:rsidR="001F1AF6" w:rsidRPr="00BC1DCD" w14:paraId="0FB933A6" w14:textId="77777777" w:rsidTr="007E0276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8BFF2" w14:textId="4575AD27" w:rsidR="001F1AF6" w:rsidRDefault="001F1AF6" w:rsidP="00DC045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C1DCD">
              <w:rPr>
                <w:rFonts w:cs="Arial"/>
                <w:b/>
                <w:sz w:val="22"/>
                <w:szCs w:val="22"/>
              </w:rPr>
              <w:t>Outcomes assessed</w:t>
            </w:r>
          </w:p>
          <w:p w14:paraId="4E807D4B" w14:textId="32539511" w:rsidR="007E0276" w:rsidRPr="00BC1DCD" w:rsidRDefault="007E0276" w:rsidP="00BC1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student:</w:t>
            </w:r>
          </w:p>
          <w:p w14:paraId="4F90C096" w14:textId="24229C97" w:rsidR="00446EED" w:rsidRDefault="003E70BA" w:rsidP="00C32EA4">
            <w:pPr>
              <w:contextualSpacing/>
              <w:rPr>
                <w:sz w:val="22"/>
              </w:rPr>
            </w:pPr>
            <w:r w:rsidRPr="003E70BA">
              <w:rPr>
                <w:b/>
                <w:sz w:val="22"/>
              </w:rPr>
              <w:t>MH11-5</w:t>
            </w:r>
            <w:r>
              <w:rPr>
                <w:sz w:val="22"/>
              </w:rPr>
              <w:t xml:space="preserve"> </w:t>
            </w:r>
            <w:r w:rsidR="00446EED">
              <w:rPr>
                <w:sz w:val="22"/>
              </w:rPr>
              <w:t xml:space="preserve">examines the significance of historical features, people, ideas, movements, events and developments of the modern </w:t>
            </w:r>
            <w:r>
              <w:rPr>
                <w:sz w:val="22"/>
              </w:rPr>
              <w:t>world</w:t>
            </w:r>
          </w:p>
          <w:p w14:paraId="6E18798F" w14:textId="41C5A03D" w:rsidR="00C32EA4" w:rsidRPr="00F40765" w:rsidRDefault="003E70BA" w:rsidP="00C32EA4">
            <w:pPr>
              <w:contextualSpacing/>
              <w:rPr>
                <w:sz w:val="22"/>
              </w:rPr>
            </w:pPr>
            <w:r w:rsidRPr="003E70BA">
              <w:rPr>
                <w:b/>
                <w:sz w:val="22"/>
              </w:rPr>
              <w:t>MH11-6</w:t>
            </w:r>
            <w:r>
              <w:rPr>
                <w:sz w:val="22"/>
              </w:rPr>
              <w:t xml:space="preserve"> </w:t>
            </w:r>
            <w:r w:rsidR="00C32EA4" w:rsidRPr="00F40765">
              <w:rPr>
                <w:sz w:val="22"/>
              </w:rPr>
              <w:t>analyses and interprets different types of sources for evidence to support an</w:t>
            </w:r>
            <w:r>
              <w:rPr>
                <w:sz w:val="22"/>
              </w:rPr>
              <w:t xml:space="preserve"> historical account or argument</w:t>
            </w:r>
          </w:p>
          <w:p w14:paraId="3BFC4A33" w14:textId="2DDAE4F3" w:rsidR="00C32EA4" w:rsidRPr="00F40765" w:rsidRDefault="003E70BA" w:rsidP="00C32EA4">
            <w:pPr>
              <w:contextualSpacing/>
              <w:rPr>
                <w:sz w:val="22"/>
              </w:rPr>
            </w:pPr>
            <w:r w:rsidRPr="003E70BA">
              <w:rPr>
                <w:b/>
                <w:sz w:val="22"/>
              </w:rPr>
              <w:t>MH11-7</w:t>
            </w:r>
            <w:r>
              <w:rPr>
                <w:sz w:val="22"/>
              </w:rPr>
              <w:t xml:space="preserve"> </w:t>
            </w:r>
            <w:r w:rsidR="00C32EA4" w:rsidRPr="00F40765">
              <w:rPr>
                <w:sz w:val="22"/>
              </w:rPr>
              <w:t xml:space="preserve">discusses and evaluates differing interpretations </w:t>
            </w:r>
            <w:r>
              <w:rPr>
                <w:sz w:val="22"/>
              </w:rPr>
              <w:t>and representations of the past</w:t>
            </w:r>
          </w:p>
          <w:p w14:paraId="58B76C0E" w14:textId="2A7C4955" w:rsidR="001F1AF6" w:rsidRPr="00C32EA4" w:rsidRDefault="003E70BA" w:rsidP="003E70BA">
            <w:pPr>
              <w:contextualSpacing/>
              <w:rPr>
                <w:sz w:val="22"/>
              </w:rPr>
            </w:pPr>
            <w:r w:rsidRPr="003E70BA">
              <w:rPr>
                <w:b/>
                <w:sz w:val="22"/>
              </w:rPr>
              <w:t>MH11-9</w:t>
            </w:r>
            <w:r>
              <w:rPr>
                <w:sz w:val="22"/>
              </w:rPr>
              <w:t xml:space="preserve"> </w:t>
            </w:r>
            <w:r w:rsidR="00C32EA4" w:rsidRPr="00F40765">
              <w:rPr>
                <w:sz w:val="22"/>
              </w:rPr>
              <w:t>communicates historical understanding, using historical knowledge, concepts and terms, in appropriate a</w:t>
            </w:r>
            <w:r>
              <w:rPr>
                <w:sz w:val="22"/>
              </w:rPr>
              <w:t>nd well-structured forms</w:t>
            </w:r>
          </w:p>
        </w:tc>
      </w:tr>
      <w:tr w:rsidR="001F1AF6" w:rsidRPr="00BC1DCD" w14:paraId="27274610" w14:textId="77777777" w:rsidTr="007E0276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F239F" w14:textId="77124BB0" w:rsidR="001F1AF6" w:rsidRPr="00BC1DCD" w:rsidRDefault="007E0276" w:rsidP="00DC04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the task</w:t>
            </w:r>
          </w:p>
          <w:p w14:paraId="6A930B00" w14:textId="24966093" w:rsidR="00FF3665" w:rsidRDefault="00FF3665" w:rsidP="00BC1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task is comprised of </w:t>
            </w:r>
            <w:r w:rsidR="008E79AB">
              <w:rPr>
                <w:rFonts w:cs="Arial"/>
                <w:sz w:val="22"/>
                <w:szCs w:val="22"/>
              </w:rPr>
              <w:t>an historical account and reflection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2619F96F" w14:textId="77777777" w:rsidR="00FF3665" w:rsidRDefault="00FF3665" w:rsidP="00BC1DCD">
            <w:pPr>
              <w:rPr>
                <w:rFonts w:cs="Arial"/>
                <w:sz w:val="22"/>
                <w:szCs w:val="22"/>
              </w:rPr>
            </w:pPr>
          </w:p>
          <w:p w14:paraId="4D82E985" w14:textId="7BE8E0AE" w:rsidR="00FF3665" w:rsidRPr="00FF3665" w:rsidRDefault="00FF3665" w:rsidP="00BC1DCD">
            <w:pPr>
              <w:rPr>
                <w:rFonts w:cs="Arial"/>
                <w:sz w:val="22"/>
                <w:szCs w:val="22"/>
                <w:u w:val="single"/>
              </w:rPr>
            </w:pPr>
            <w:r w:rsidRPr="00FF3665">
              <w:rPr>
                <w:rFonts w:cs="Arial"/>
                <w:sz w:val="22"/>
                <w:szCs w:val="22"/>
                <w:u w:val="single"/>
              </w:rPr>
              <w:t>Historical Account</w:t>
            </w:r>
            <w:r w:rsidR="008E48DB">
              <w:rPr>
                <w:rFonts w:cs="Arial"/>
                <w:sz w:val="22"/>
                <w:szCs w:val="22"/>
                <w:u w:val="single"/>
              </w:rPr>
              <w:t xml:space="preserve"> (</w:t>
            </w:r>
            <w:r w:rsidR="00B679B7">
              <w:rPr>
                <w:rFonts w:cs="Arial"/>
                <w:sz w:val="22"/>
                <w:szCs w:val="22"/>
                <w:u w:val="single"/>
              </w:rPr>
              <w:t>1000</w:t>
            </w:r>
            <w:r w:rsidR="008E48DB">
              <w:rPr>
                <w:rFonts w:cs="Arial"/>
                <w:sz w:val="22"/>
                <w:szCs w:val="22"/>
                <w:u w:val="single"/>
              </w:rPr>
              <w:t xml:space="preserve"> word</w:t>
            </w:r>
            <w:r w:rsidR="00A60D8F">
              <w:rPr>
                <w:rFonts w:cs="Arial"/>
                <w:sz w:val="22"/>
                <w:szCs w:val="22"/>
                <w:u w:val="single"/>
              </w:rPr>
              <w:t>s</w:t>
            </w:r>
            <w:r w:rsidR="008E48DB">
              <w:rPr>
                <w:rFonts w:cs="Arial"/>
                <w:sz w:val="22"/>
                <w:szCs w:val="22"/>
                <w:u w:val="single"/>
              </w:rPr>
              <w:t>)</w:t>
            </w:r>
          </w:p>
          <w:p w14:paraId="3245771F" w14:textId="1B4E4043" w:rsidR="001F1AF6" w:rsidRDefault="00A60D8F" w:rsidP="00BC1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  <w:r w:rsidR="00FF3665">
              <w:rPr>
                <w:rFonts w:cs="Arial"/>
                <w:sz w:val="22"/>
                <w:szCs w:val="22"/>
              </w:rPr>
              <w:t xml:space="preserve">ou are to </w:t>
            </w:r>
            <w:r w:rsidR="00FF3665">
              <w:rPr>
                <w:rFonts w:cs="Arial"/>
                <w:sz w:val="22"/>
              </w:rPr>
              <w:t xml:space="preserve">develop an historical account of </w:t>
            </w:r>
            <w:r w:rsidR="00AB21D3">
              <w:rPr>
                <w:rFonts w:cs="Arial"/>
                <w:sz w:val="22"/>
              </w:rPr>
              <w:t xml:space="preserve">the role </w:t>
            </w:r>
            <w:r w:rsidR="008E79AB">
              <w:rPr>
                <w:rFonts w:cs="Arial"/>
                <w:sz w:val="22"/>
              </w:rPr>
              <w:t>o</w:t>
            </w:r>
            <w:r w:rsidR="00AB21D3">
              <w:rPr>
                <w:rFonts w:cs="Arial"/>
                <w:sz w:val="22"/>
              </w:rPr>
              <w:t xml:space="preserve">f </w:t>
            </w:r>
            <w:r w:rsidR="00FF3665">
              <w:rPr>
                <w:rFonts w:cs="Arial"/>
                <w:sz w:val="22"/>
              </w:rPr>
              <w:t>Pemulwuy</w:t>
            </w:r>
            <w:r w:rsidR="00AB21D3">
              <w:rPr>
                <w:rFonts w:cs="Arial"/>
                <w:sz w:val="22"/>
              </w:rPr>
              <w:t xml:space="preserve">, </w:t>
            </w:r>
            <w:r w:rsidR="008E79AB">
              <w:rPr>
                <w:rFonts w:cs="Arial"/>
                <w:sz w:val="22"/>
              </w:rPr>
              <w:t xml:space="preserve">in relations between the </w:t>
            </w:r>
            <w:r w:rsidR="008E79AB" w:rsidRPr="008E79AB">
              <w:rPr>
                <w:rFonts w:cs="Arial"/>
                <w:sz w:val="22"/>
              </w:rPr>
              <w:t>Eora</w:t>
            </w:r>
            <w:r w:rsidR="008E79AB">
              <w:rPr>
                <w:rFonts w:cs="Arial"/>
                <w:sz w:val="22"/>
              </w:rPr>
              <w:t xml:space="preserve"> Nation and the British, </w:t>
            </w:r>
            <w:r w:rsidR="00AB21D3">
              <w:rPr>
                <w:rFonts w:cs="Arial"/>
                <w:sz w:val="22"/>
              </w:rPr>
              <w:t>using relevant sources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2DF7B801" w14:textId="77777777" w:rsidR="00A60D8F" w:rsidRDefault="00A60D8F" w:rsidP="00BC1DCD">
            <w:pPr>
              <w:rPr>
                <w:rFonts w:cs="Arial"/>
                <w:sz w:val="22"/>
                <w:szCs w:val="22"/>
              </w:rPr>
            </w:pPr>
          </w:p>
          <w:p w14:paraId="135ACCBE" w14:textId="1EA4A7CE" w:rsidR="00A60D8F" w:rsidRPr="00A60D8F" w:rsidRDefault="00B679B7" w:rsidP="00BC1DCD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Reflection (5</w:t>
            </w:r>
            <w:r w:rsidR="009B12D1">
              <w:rPr>
                <w:rFonts w:cs="Arial"/>
                <w:sz w:val="22"/>
                <w:szCs w:val="22"/>
                <w:u w:val="single"/>
              </w:rPr>
              <w:t>00 words</w:t>
            </w:r>
            <w:r w:rsidR="00A60D8F" w:rsidRPr="00A60D8F">
              <w:rPr>
                <w:rFonts w:cs="Arial"/>
                <w:sz w:val="22"/>
                <w:szCs w:val="22"/>
                <w:u w:val="single"/>
              </w:rPr>
              <w:t>)</w:t>
            </w:r>
          </w:p>
          <w:p w14:paraId="1D6D485A" w14:textId="21CF60E6" w:rsidR="00A60D8F" w:rsidRDefault="00A60D8F" w:rsidP="00BC1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You are to write a reflection of the </w:t>
            </w:r>
            <w:r w:rsidRPr="00A60D8F">
              <w:rPr>
                <w:rFonts w:cs="Arial"/>
                <w:b/>
                <w:sz w:val="22"/>
                <w:szCs w:val="22"/>
              </w:rPr>
              <w:t>process</w:t>
            </w:r>
            <w:r>
              <w:rPr>
                <w:rFonts w:cs="Arial"/>
                <w:sz w:val="22"/>
                <w:szCs w:val="22"/>
              </w:rPr>
              <w:t xml:space="preserve"> of developing your historical account. Your reflection may be presented </w:t>
            </w:r>
            <w:r w:rsidR="002452DE">
              <w:rPr>
                <w:rFonts w:cs="Arial"/>
                <w:sz w:val="22"/>
                <w:szCs w:val="22"/>
              </w:rPr>
              <w:t xml:space="preserve">using subheadings </w:t>
            </w:r>
            <w:r>
              <w:rPr>
                <w:rFonts w:cs="Arial"/>
                <w:sz w:val="22"/>
                <w:szCs w:val="22"/>
              </w:rPr>
              <w:t xml:space="preserve">or in </w:t>
            </w:r>
            <w:r w:rsidR="002452DE">
              <w:rPr>
                <w:rFonts w:cs="Arial"/>
                <w:sz w:val="22"/>
                <w:szCs w:val="22"/>
              </w:rPr>
              <w:t>paragraph form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9F741D">
              <w:rPr>
                <w:rFonts w:cs="Arial"/>
                <w:sz w:val="22"/>
                <w:szCs w:val="22"/>
              </w:rPr>
              <w:t>In your reflection, consider:</w:t>
            </w:r>
          </w:p>
          <w:p w14:paraId="5A1C2597" w14:textId="1C82F633" w:rsidR="009F741D" w:rsidRPr="009B12D1" w:rsidRDefault="009B12D1" w:rsidP="009B12D1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9B12D1">
              <w:rPr>
                <w:sz w:val="22"/>
              </w:rPr>
              <w:t>the</w:t>
            </w:r>
            <w:r>
              <w:rPr>
                <w:sz w:val="22"/>
              </w:rPr>
              <w:t xml:space="preserve"> </w:t>
            </w:r>
            <w:r w:rsidR="00591783">
              <w:rPr>
                <w:sz w:val="22"/>
              </w:rPr>
              <w:t>availability</w:t>
            </w:r>
            <w:r>
              <w:rPr>
                <w:sz w:val="22"/>
              </w:rPr>
              <w:t xml:space="preserve"> </w:t>
            </w:r>
            <w:r w:rsidR="009F741D" w:rsidRPr="009B12D1">
              <w:rPr>
                <w:sz w:val="22"/>
              </w:rPr>
              <w:t>of documentary material</w:t>
            </w:r>
            <w:r>
              <w:rPr>
                <w:sz w:val="22"/>
              </w:rPr>
              <w:t>, any</w:t>
            </w:r>
            <w:r w:rsidR="009F741D" w:rsidRPr="009B12D1">
              <w:rPr>
                <w:sz w:val="22"/>
              </w:rPr>
              <w:t xml:space="preserve"> issues </w:t>
            </w:r>
            <w:r>
              <w:rPr>
                <w:sz w:val="22"/>
              </w:rPr>
              <w:t>this may have caused, and how this was resolved</w:t>
            </w:r>
          </w:p>
          <w:p w14:paraId="04DB05B3" w14:textId="7D1CD550" w:rsidR="009F741D" w:rsidRPr="009F741D" w:rsidRDefault="009B12D1" w:rsidP="009F741D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the </w:t>
            </w:r>
            <w:r w:rsidR="009F741D">
              <w:rPr>
                <w:sz w:val="22"/>
              </w:rPr>
              <w:t xml:space="preserve">incomplete nature of </w:t>
            </w:r>
            <w:r w:rsidR="009F741D" w:rsidRPr="00357888">
              <w:rPr>
                <w:sz w:val="22"/>
              </w:rPr>
              <w:t>evidence</w:t>
            </w:r>
          </w:p>
          <w:p w14:paraId="0ABD9C71" w14:textId="2794B6B0" w:rsidR="009B12D1" w:rsidRPr="00F22D16" w:rsidRDefault="009B12D1" w:rsidP="00F22D1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the</w:t>
            </w:r>
            <w:r w:rsidR="009F741D" w:rsidRPr="00F40765">
              <w:rPr>
                <w:sz w:val="22"/>
              </w:rPr>
              <w:t xml:space="preserve"> perspective</w:t>
            </w:r>
            <w:r w:rsidR="00E913F8">
              <w:rPr>
                <w:sz w:val="22"/>
              </w:rPr>
              <w:t>/s revealed</w:t>
            </w:r>
            <w:bookmarkStart w:id="0" w:name="_GoBack"/>
            <w:bookmarkEnd w:id="0"/>
            <w:r>
              <w:rPr>
                <w:sz w:val="22"/>
              </w:rPr>
              <w:t xml:space="preserve"> in</w:t>
            </w:r>
            <w:r w:rsidR="009F741D" w:rsidRPr="00F40765">
              <w:rPr>
                <w:sz w:val="22"/>
              </w:rPr>
              <w:t xml:space="preserve"> historical accounts</w:t>
            </w:r>
            <w:r>
              <w:rPr>
                <w:sz w:val="22"/>
              </w:rPr>
              <w:t>.</w:t>
            </w:r>
          </w:p>
        </w:tc>
      </w:tr>
      <w:tr w:rsidR="001F1E82" w:rsidRPr="00BC1DCD" w14:paraId="3BF27735" w14:textId="77777777" w:rsidTr="007E0276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10F94" w14:textId="77777777" w:rsidR="00E104CA" w:rsidRDefault="007E0276" w:rsidP="00DC045C">
            <w:pPr>
              <w:tabs>
                <w:tab w:val="left" w:pos="3645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Marking criteria</w:t>
            </w:r>
          </w:p>
          <w:p w14:paraId="28B79155" w14:textId="352722F4" w:rsidR="001F1E82" w:rsidRPr="00E104CA" w:rsidRDefault="002729E5" w:rsidP="00C32EA4">
            <w:pPr>
              <w:tabs>
                <w:tab w:val="left" w:pos="36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</w:t>
            </w:r>
            <w:r w:rsidR="00E104CA" w:rsidRPr="00E104CA">
              <w:rPr>
                <w:sz w:val="22"/>
                <w:szCs w:val="22"/>
              </w:rPr>
              <w:t>will be assessed on how well you:</w:t>
            </w:r>
            <w:r w:rsidR="00C32EA4" w:rsidRPr="00E104CA">
              <w:rPr>
                <w:sz w:val="22"/>
                <w:szCs w:val="22"/>
              </w:rPr>
              <w:tab/>
            </w:r>
          </w:p>
          <w:p w14:paraId="67E0D552" w14:textId="672BCDC1" w:rsidR="00C32EA4" w:rsidRPr="00942F5F" w:rsidRDefault="00E104CA" w:rsidP="002452DE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C32EA4" w:rsidRPr="00942F5F">
              <w:rPr>
                <w:sz w:val="22"/>
              </w:rPr>
              <w:t>nalyse and interpret different types of sources</w:t>
            </w:r>
            <w:r w:rsidR="00591783">
              <w:rPr>
                <w:sz w:val="22"/>
              </w:rPr>
              <w:t>, including problems relating to sources</w:t>
            </w:r>
            <w:r w:rsidR="00C32EA4" w:rsidRPr="00942F5F">
              <w:rPr>
                <w:sz w:val="22"/>
              </w:rPr>
              <w:t xml:space="preserve"> </w:t>
            </w:r>
          </w:p>
          <w:p w14:paraId="3764AB38" w14:textId="5E970F4C" w:rsidR="00C32EA4" w:rsidRPr="00942F5F" w:rsidRDefault="00E104CA" w:rsidP="002452DE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="00C32EA4" w:rsidRPr="00942F5F">
              <w:rPr>
                <w:sz w:val="22"/>
              </w:rPr>
              <w:t>se evidence to s</w:t>
            </w:r>
            <w:r w:rsidR="00446EED">
              <w:rPr>
                <w:sz w:val="22"/>
              </w:rPr>
              <w:t>upport an historical account</w:t>
            </w:r>
          </w:p>
          <w:p w14:paraId="2C09438F" w14:textId="09CD04C0" w:rsidR="00C32EA4" w:rsidRDefault="00E104CA" w:rsidP="002452DE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e</w:t>
            </w:r>
            <w:r w:rsidR="00446EED">
              <w:rPr>
                <w:sz w:val="22"/>
              </w:rPr>
              <w:t>xamine</w:t>
            </w:r>
            <w:r w:rsidR="00C32EA4" w:rsidRPr="00942F5F">
              <w:rPr>
                <w:sz w:val="22"/>
              </w:rPr>
              <w:t xml:space="preserve"> differing interpretations and representations of the past</w:t>
            </w:r>
          </w:p>
          <w:p w14:paraId="4DB67C91" w14:textId="2DBD5C93" w:rsidR="00446EED" w:rsidRPr="00942F5F" w:rsidRDefault="00E104CA" w:rsidP="002452DE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f</w:t>
            </w:r>
            <w:r w:rsidR="00D000DB">
              <w:rPr>
                <w:sz w:val="22"/>
              </w:rPr>
              <w:t xml:space="preserve">orm judgements about </w:t>
            </w:r>
            <w:r w:rsidR="00446EED">
              <w:rPr>
                <w:sz w:val="22"/>
              </w:rPr>
              <w:t>the significance of historical people and movements</w:t>
            </w:r>
          </w:p>
          <w:p w14:paraId="75B8571A" w14:textId="13EBFE9A" w:rsidR="003C7C01" w:rsidRPr="009F55D3" w:rsidRDefault="00591783" w:rsidP="00591783">
            <w:pPr>
              <w:pStyle w:val="ListParagraph"/>
              <w:numPr>
                <w:ilvl w:val="0"/>
                <w:numId w:val="7"/>
              </w:numPr>
              <w:spacing w:after="120"/>
              <w:ind w:left="357" w:hanging="357"/>
              <w:rPr>
                <w:sz w:val="22"/>
              </w:rPr>
            </w:pPr>
            <w:proofErr w:type="gramStart"/>
            <w:r>
              <w:rPr>
                <w:sz w:val="22"/>
              </w:rPr>
              <w:t>communicate</w:t>
            </w:r>
            <w:proofErr w:type="gramEnd"/>
            <w:r>
              <w:rPr>
                <w:sz w:val="22"/>
              </w:rPr>
              <w:t xml:space="preserve"> using historical</w:t>
            </w:r>
            <w:r w:rsidR="002452DE" w:rsidRPr="00942F5F">
              <w:rPr>
                <w:sz w:val="22"/>
              </w:rPr>
              <w:t xml:space="preserve"> </w:t>
            </w:r>
            <w:r w:rsidR="002452DE">
              <w:rPr>
                <w:sz w:val="22"/>
              </w:rPr>
              <w:t>knowledge,</w:t>
            </w:r>
            <w:r w:rsidR="002452DE" w:rsidRPr="00942F5F">
              <w:rPr>
                <w:sz w:val="22"/>
              </w:rPr>
              <w:t xml:space="preserve"> concepts</w:t>
            </w:r>
            <w:r w:rsidR="002452DE">
              <w:rPr>
                <w:sz w:val="22"/>
              </w:rPr>
              <w:t xml:space="preserve"> and terms</w:t>
            </w:r>
            <w:r w:rsidR="009F55D3">
              <w:rPr>
                <w:sz w:val="22"/>
              </w:rPr>
              <w:t>.</w:t>
            </w:r>
          </w:p>
        </w:tc>
      </w:tr>
      <w:tr w:rsidR="001F1AF6" w:rsidRPr="00BC1DCD" w14:paraId="5BB9F7A0" w14:textId="77777777" w:rsidTr="007E0276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40258" w14:textId="23C8D586" w:rsidR="001F1AF6" w:rsidRPr="00BC1DCD" w:rsidRDefault="007E0276" w:rsidP="00DC04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 provided</w:t>
            </w:r>
          </w:p>
          <w:p w14:paraId="5F264F38" w14:textId="6C9682C7" w:rsidR="001F1AF6" w:rsidRPr="00F22D16" w:rsidRDefault="007E0276" w:rsidP="008526BD">
            <w:pPr>
              <w:pStyle w:val="ListParagraph"/>
              <w:numPr>
                <w:ilvl w:val="0"/>
                <w:numId w:val="16"/>
              </w:numPr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teacher will provide written feedback outlining strengths and areas for improvement </w:t>
            </w:r>
            <w:r w:rsidR="00EE42FE">
              <w:rPr>
                <w:rFonts w:cs="Arial"/>
                <w:sz w:val="22"/>
                <w:szCs w:val="22"/>
              </w:rPr>
              <w:t>in the construction of historical accounts, the analysis of sources and the integration of evidence, to guide future learning.</w:t>
            </w:r>
          </w:p>
        </w:tc>
      </w:tr>
    </w:tbl>
    <w:p w14:paraId="416B9D14" w14:textId="77777777" w:rsidR="009F55D3" w:rsidRDefault="009F55D3" w:rsidP="004011D0">
      <w:pPr>
        <w:rPr>
          <w:b/>
          <w:sz w:val="22"/>
          <w:szCs w:val="22"/>
        </w:rPr>
      </w:pPr>
    </w:p>
    <w:p w14:paraId="3E502D65" w14:textId="77777777" w:rsidR="009F55D3" w:rsidRDefault="009F55D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67D8BD7" w14:textId="5875E7F3" w:rsidR="004011D0" w:rsidRPr="004404B8" w:rsidRDefault="0012285E" w:rsidP="004011D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Marking guidelines</w:t>
      </w:r>
    </w:p>
    <w:tbl>
      <w:tblPr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  <w:tblCaption w:val="Marking guidelines table"/>
        <w:tblDescription w:val="The marking guidelines table provides examples of the knowledge, understanding and skills a student has displayed and the allocated mark range."/>
      </w:tblPr>
      <w:tblGrid>
        <w:gridCol w:w="9172"/>
        <w:gridCol w:w="1418"/>
      </w:tblGrid>
      <w:tr w:rsidR="004011D0" w14:paraId="30D294A5" w14:textId="77777777" w:rsidTr="000B7F7B">
        <w:trPr>
          <w:cantSplit/>
          <w:trHeight w:val="377"/>
        </w:trPr>
        <w:tc>
          <w:tcPr>
            <w:tcW w:w="9172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351A8" w14:textId="77777777" w:rsidR="004011D0" w:rsidRPr="00784A8D" w:rsidRDefault="004011D0" w:rsidP="00DC045C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student:</w:t>
            </w:r>
          </w:p>
        </w:tc>
        <w:tc>
          <w:tcPr>
            <w:tcW w:w="141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3044F8" w14:textId="77777777" w:rsidR="004011D0" w:rsidRPr="00784A8D" w:rsidRDefault="004011D0" w:rsidP="00DC045C">
            <w:pPr>
              <w:spacing w:before="60" w:after="6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4A8D">
              <w:rPr>
                <w:rFonts w:eastAsia="Calibri"/>
                <w:b/>
                <w:sz w:val="22"/>
                <w:szCs w:val="22"/>
              </w:rPr>
              <w:t>Mark range</w:t>
            </w:r>
          </w:p>
        </w:tc>
      </w:tr>
      <w:tr w:rsidR="004011D0" w14:paraId="35D6A5E9" w14:textId="77777777" w:rsidTr="000B7F7B"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3A69" w14:textId="02B3CC9F" w:rsidR="004011D0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C35C8F">
              <w:rPr>
                <w:sz w:val="22"/>
                <w:szCs w:val="22"/>
              </w:rPr>
              <w:t>orms sophisticated judgements</w:t>
            </w:r>
            <w:r w:rsidR="001F49EC">
              <w:rPr>
                <w:sz w:val="22"/>
                <w:szCs w:val="22"/>
              </w:rPr>
              <w:t xml:space="preserve"> about the role</w:t>
            </w:r>
            <w:r w:rsidRPr="00C35C8F">
              <w:rPr>
                <w:sz w:val="22"/>
                <w:szCs w:val="22"/>
              </w:rPr>
              <w:t xml:space="preserve"> of Pemulwuy</w:t>
            </w:r>
          </w:p>
          <w:p w14:paraId="0CFBFCB0" w14:textId="07699021" w:rsidR="00C35C8F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presents a comprehensive analysis and interpretation of relevant sources</w:t>
            </w:r>
          </w:p>
          <w:p w14:paraId="42535856" w14:textId="1270A26D" w:rsidR="00C35C8F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conducts a sophisticated examination of differing interpretations and representations of the past</w:t>
            </w:r>
          </w:p>
          <w:p w14:paraId="3B65B8A1" w14:textId="77777777" w:rsidR="00EF4FE9" w:rsidRDefault="00EF4FE9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presents a clear and considered reflection of the process of developing a historical account</w:t>
            </w:r>
          </w:p>
          <w:p w14:paraId="3037D802" w14:textId="12181476" w:rsidR="00EF4FE9" w:rsidRPr="008C0E36" w:rsidRDefault="00EF4FE9" w:rsidP="008C0E36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8C0E36">
              <w:rPr>
                <w:sz w:val="22"/>
                <w:szCs w:val="22"/>
              </w:rPr>
              <w:t>explains issues</w:t>
            </w:r>
            <w:r w:rsidR="00591783">
              <w:rPr>
                <w:sz w:val="22"/>
                <w:szCs w:val="22"/>
              </w:rPr>
              <w:t xml:space="preserve"> of</w:t>
            </w:r>
            <w:r w:rsidRPr="008C0E36">
              <w:rPr>
                <w:sz w:val="22"/>
                <w:szCs w:val="22"/>
              </w:rPr>
              <w:t xml:space="preserve"> evidence,</w:t>
            </w:r>
            <w:r w:rsidR="00591783">
              <w:rPr>
                <w:sz w:val="22"/>
                <w:szCs w:val="22"/>
              </w:rPr>
              <w:t xml:space="preserve"> and</w:t>
            </w:r>
            <w:r w:rsidRPr="008C0E36">
              <w:rPr>
                <w:sz w:val="22"/>
                <w:szCs w:val="22"/>
              </w:rPr>
              <w:t xml:space="preserve"> measures to resolve </w:t>
            </w:r>
            <w:r w:rsidR="00591783">
              <w:rPr>
                <w:sz w:val="22"/>
                <w:szCs w:val="22"/>
              </w:rPr>
              <w:t>these</w:t>
            </w:r>
          </w:p>
          <w:p w14:paraId="6FD16305" w14:textId="6D0C7EB3" w:rsidR="004011D0" w:rsidRPr="00C35C8F" w:rsidRDefault="00C35C8F" w:rsidP="009F55D3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 xml:space="preserve">communicates </w:t>
            </w:r>
            <w:r w:rsidR="009F55D3">
              <w:rPr>
                <w:sz w:val="22"/>
                <w:szCs w:val="22"/>
              </w:rPr>
              <w:t>high level</w:t>
            </w:r>
            <w:r w:rsidRPr="00EF4FE9">
              <w:rPr>
                <w:sz w:val="22"/>
                <w:szCs w:val="22"/>
              </w:rPr>
              <w:t xml:space="preserve"> historical understanding in </w:t>
            </w:r>
            <w:r w:rsidR="000E21CD" w:rsidRPr="00EF4FE9">
              <w:rPr>
                <w:sz w:val="22"/>
                <w:szCs w:val="22"/>
              </w:rPr>
              <w:t>an appropriate form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0A855" w14:textId="33C2345D" w:rsidR="004011D0" w:rsidRPr="00BE1989" w:rsidRDefault="00EE42FE" w:rsidP="004652EF">
            <w:pPr>
              <w:spacing w:after="0"/>
              <w:jc w:val="center"/>
            </w:pPr>
            <w:r>
              <w:rPr>
                <w:rFonts w:eastAsia="Calibri"/>
                <w:sz w:val="22"/>
                <w:szCs w:val="22"/>
              </w:rPr>
              <w:t>33–40</w:t>
            </w:r>
          </w:p>
        </w:tc>
      </w:tr>
      <w:tr w:rsidR="004011D0" w14:paraId="0C1E170C" w14:textId="77777777" w:rsidTr="000B7F7B"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BE1B" w14:textId="6717010A" w:rsidR="004011D0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C35C8F">
              <w:rPr>
                <w:sz w:val="22"/>
                <w:szCs w:val="22"/>
              </w:rPr>
              <w:t>orms judgements</w:t>
            </w:r>
            <w:r w:rsidR="001F49EC">
              <w:rPr>
                <w:sz w:val="22"/>
                <w:szCs w:val="22"/>
              </w:rPr>
              <w:t xml:space="preserve"> about the role</w:t>
            </w:r>
            <w:r w:rsidRPr="00C35C8F">
              <w:rPr>
                <w:sz w:val="22"/>
                <w:szCs w:val="22"/>
              </w:rPr>
              <w:t xml:space="preserve"> of Pemulwuy</w:t>
            </w:r>
          </w:p>
          <w:p w14:paraId="77CAE414" w14:textId="3D9CC5E8" w:rsidR="00C35C8F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presents an analysis and interpretation of relevant sources</w:t>
            </w:r>
          </w:p>
          <w:p w14:paraId="46EE2A85" w14:textId="37513FA1" w:rsidR="00C35C8F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conducts an examination of differing interpretations and representations of the past</w:t>
            </w:r>
          </w:p>
          <w:p w14:paraId="5B487853" w14:textId="77777777" w:rsidR="00EF4FE9" w:rsidRDefault="00EF4FE9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presents a considered reflection of the process of developing a historical account</w:t>
            </w:r>
          </w:p>
          <w:p w14:paraId="68BB4D04" w14:textId="2D4CBB0A" w:rsidR="00EF4FE9" w:rsidRPr="008C0E36" w:rsidRDefault="00EF4FE9" w:rsidP="008C0E36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8C0E36">
              <w:rPr>
                <w:sz w:val="22"/>
                <w:szCs w:val="22"/>
              </w:rPr>
              <w:t xml:space="preserve">identifies issues </w:t>
            </w:r>
            <w:r w:rsidR="00591783">
              <w:rPr>
                <w:sz w:val="22"/>
                <w:szCs w:val="22"/>
              </w:rPr>
              <w:t>of</w:t>
            </w:r>
            <w:r w:rsidRPr="008C0E36">
              <w:rPr>
                <w:sz w:val="22"/>
                <w:szCs w:val="22"/>
              </w:rPr>
              <w:t xml:space="preserve"> evidence, and measures to resolve </w:t>
            </w:r>
            <w:r w:rsidR="00591783">
              <w:rPr>
                <w:sz w:val="22"/>
                <w:szCs w:val="22"/>
              </w:rPr>
              <w:t>these</w:t>
            </w:r>
          </w:p>
          <w:p w14:paraId="5DB8AE57" w14:textId="07957AD6" w:rsidR="004011D0" w:rsidRPr="00C35C8F" w:rsidRDefault="00C35C8F" w:rsidP="009F55D3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 xml:space="preserve">communicates </w:t>
            </w:r>
            <w:r w:rsidR="009F55D3">
              <w:rPr>
                <w:sz w:val="22"/>
                <w:szCs w:val="22"/>
              </w:rPr>
              <w:t>thorough</w:t>
            </w:r>
            <w:r w:rsidRPr="00EF4FE9">
              <w:rPr>
                <w:sz w:val="22"/>
                <w:szCs w:val="22"/>
              </w:rPr>
              <w:t xml:space="preserve"> historical understanding in an appropriate form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51C5F" w14:textId="3184B45F" w:rsidR="004011D0" w:rsidRPr="00BE1989" w:rsidRDefault="00EE42FE" w:rsidP="004652EF">
            <w:pPr>
              <w:spacing w:after="0"/>
              <w:jc w:val="center"/>
            </w:pPr>
            <w:r>
              <w:rPr>
                <w:rFonts w:eastAsia="Calibri"/>
                <w:sz w:val="22"/>
                <w:szCs w:val="22"/>
              </w:rPr>
              <w:t>25–32</w:t>
            </w:r>
          </w:p>
        </w:tc>
      </w:tr>
      <w:tr w:rsidR="004011D0" w14:paraId="2E2B83DA" w14:textId="77777777" w:rsidTr="000B7F7B"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D31D" w14:textId="4F87618C" w:rsidR="004011D0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5C8F">
              <w:rPr>
                <w:sz w:val="22"/>
                <w:szCs w:val="22"/>
              </w:rPr>
              <w:t xml:space="preserve">resents </w:t>
            </w:r>
            <w:r w:rsidR="00591783">
              <w:rPr>
                <w:sz w:val="22"/>
                <w:szCs w:val="22"/>
              </w:rPr>
              <w:t xml:space="preserve">some </w:t>
            </w:r>
            <w:r w:rsidRPr="00C35C8F">
              <w:rPr>
                <w:sz w:val="22"/>
                <w:szCs w:val="22"/>
              </w:rPr>
              <w:t xml:space="preserve">judgement </w:t>
            </w:r>
            <w:r w:rsidR="001F49EC">
              <w:rPr>
                <w:sz w:val="22"/>
                <w:szCs w:val="22"/>
              </w:rPr>
              <w:t xml:space="preserve">about the role </w:t>
            </w:r>
            <w:r w:rsidRPr="00C35C8F">
              <w:rPr>
                <w:sz w:val="22"/>
                <w:szCs w:val="22"/>
              </w:rPr>
              <w:t>of Pemulwuy</w:t>
            </w:r>
          </w:p>
          <w:p w14:paraId="42612BAC" w14:textId="052CE0DF" w:rsidR="00C35C8F" w:rsidRDefault="00C75FDA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presents a sound</w:t>
            </w:r>
            <w:r w:rsidR="00C35C8F">
              <w:rPr>
                <w:sz w:val="22"/>
                <w:szCs w:val="22"/>
              </w:rPr>
              <w:t xml:space="preserve"> analysis and interpretation of a range of sources</w:t>
            </w:r>
          </w:p>
          <w:p w14:paraId="18AF080F" w14:textId="77777777" w:rsidR="00C35C8F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presents differing interpretations and representations of the past</w:t>
            </w:r>
          </w:p>
          <w:p w14:paraId="0B7269A9" w14:textId="77777777" w:rsidR="00EF4FE9" w:rsidRDefault="00EF4FE9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presents a reflection of the process of developing a historical account</w:t>
            </w:r>
          </w:p>
          <w:p w14:paraId="672DBE5E" w14:textId="47639025" w:rsidR="00EF4FE9" w:rsidRPr="008C0E36" w:rsidRDefault="00EF4FE9" w:rsidP="008C0E36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8C0E36">
              <w:rPr>
                <w:sz w:val="22"/>
                <w:szCs w:val="22"/>
              </w:rPr>
              <w:t xml:space="preserve">identifies issues </w:t>
            </w:r>
            <w:r w:rsidR="00591783">
              <w:rPr>
                <w:sz w:val="22"/>
                <w:szCs w:val="22"/>
              </w:rPr>
              <w:t xml:space="preserve">of evidence, and may </w:t>
            </w:r>
            <w:r w:rsidR="001D3364">
              <w:rPr>
                <w:sz w:val="22"/>
                <w:szCs w:val="22"/>
              </w:rPr>
              <w:t xml:space="preserve">suggest </w:t>
            </w:r>
            <w:r w:rsidRPr="008C0E36">
              <w:rPr>
                <w:sz w:val="22"/>
                <w:szCs w:val="22"/>
              </w:rPr>
              <w:t xml:space="preserve">measures </w:t>
            </w:r>
            <w:r w:rsidR="00591783">
              <w:rPr>
                <w:sz w:val="22"/>
                <w:szCs w:val="22"/>
              </w:rPr>
              <w:t>t</w:t>
            </w:r>
            <w:r w:rsidRPr="008C0E36">
              <w:rPr>
                <w:sz w:val="22"/>
                <w:szCs w:val="22"/>
              </w:rPr>
              <w:t xml:space="preserve">o resolve </w:t>
            </w:r>
            <w:r w:rsidR="00591783">
              <w:rPr>
                <w:sz w:val="22"/>
                <w:szCs w:val="22"/>
              </w:rPr>
              <w:t>these</w:t>
            </w:r>
          </w:p>
          <w:p w14:paraId="22D74CD8" w14:textId="2AE500B6" w:rsidR="004011D0" w:rsidRPr="00C35C8F" w:rsidRDefault="003C5707" w:rsidP="009F55D3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communicates</w:t>
            </w:r>
            <w:r w:rsidR="00C35C8F" w:rsidRPr="00EF4FE9">
              <w:rPr>
                <w:sz w:val="22"/>
                <w:szCs w:val="22"/>
              </w:rPr>
              <w:t xml:space="preserve"> </w:t>
            </w:r>
            <w:r w:rsidR="009F55D3">
              <w:rPr>
                <w:sz w:val="22"/>
                <w:szCs w:val="22"/>
              </w:rPr>
              <w:t xml:space="preserve">some </w:t>
            </w:r>
            <w:r w:rsidR="00C35C8F" w:rsidRPr="00EF4FE9">
              <w:rPr>
                <w:sz w:val="22"/>
                <w:szCs w:val="22"/>
              </w:rPr>
              <w:t xml:space="preserve">historical understanding in </w:t>
            </w:r>
            <w:r w:rsidR="009F55D3">
              <w:rPr>
                <w:sz w:val="22"/>
                <w:szCs w:val="22"/>
              </w:rPr>
              <w:t>an appropriate form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BB42A" w14:textId="6AE2E5FC" w:rsidR="004011D0" w:rsidRPr="00BE1989" w:rsidRDefault="00EE42FE" w:rsidP="00EE42FE">
            <w:pPr>
              <w:spacing w:after="0"/>
              <w:jc w:val="center"/>
            </w:pPr>
            <w:r>
              <w:rPr>
                <w:rFonts w:eastAsia="Calibri"/>
                <w:sz w:val="22"/>
                <w:szCs w:val="22"/>
              </w:rPr>
              <w:t>17</w:t>
            </w:r>
            <w:r w:rsidR="00FD53D2">
              <w:rPr>
                <w:rFonts w:eastAsia="Calibri"/>
                <w:sz w:val="22"/>
                <w:szCs w:val="22"/>
              </w:rPr>
              <w:t>–</w:t>
            </w:r>
            <w:r>
              <w:rPr>
                <w:rFonts w:eastAsia="Calibri"/>
                <w:sz w:val="22"/>
                <w:szCs w:val="22"/>
              </w:rPr>
              <w:t>24</w:t>
            </w:r>
          </w:p>
        </w:tc>
      </w:tr>
      <w:tr w:rsidR="004011D0" w14:paraId="0BC830E1" w14:textId="77777777" w:rsidTr="000B7F7B"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1ECE" w14:textId="0752EB2D" w:rsidR="004011D0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5C8F">
              <w:rPr>
                <w:sz w:val="22"/>
                <w:szCs w:val="22"/>
              </w:rPr>
              <w:t xml:space="preserve">resents information relating </w:t>
            </w:r>
            <w:r w:rsidR="001F49EC">
              <w:rPr>
                <w:sz w:val="22"/>
                <w:szCs w:val="22"/>
              </w:rPr>
              <w:t xml:space="preserve">to the role </w:t>
            </w:r>
            <w:r w:rsidRPr="00C35C8F">
              <w:rPr>
                <w:sz w:val="22"/>
                <w:szCs w:val="22"/>
              </w:rPr>
              <w:t>of Pemulwuy</w:t>
            </w:r>
          </w:p>
          <w:p w14:paraId="2666683F" w14:textId="41B9F5E1" w:rsidR="00C35C8F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attempts to analyse and/or interpret sources</w:t>
            </w:r>
          </w:p>
          <w:p w14:paraId="0A515148" w14:textId="5F44C1AD" w:rsidR="00C35C8F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makes </w:t>
            </w:r>
            <w:r w:rsidR="00EF4FE9">
              <w:rPr>
                <w:sz w:val="22"/>
                <w:szCs w:val="22"/>
              </w:rPr>
              <w:t>reference to</w:t>
            </w:r>
            <w:r>
              <w:rPr>
                <w:sz w:val="22"/>
                <w:szCs w:val="22"/>
              </w:rPr>
              <w:t xml:space="preserve"> differing interpretations and/or representations of the past</w:t>
            </w:r>
          </w:p>
          <w:p w14:paraId="5FB1DE84" w14:textId="77777777" w:rsidR="00EF4FE9" w:rsidRDefault="00EF4FE9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makes reference to the process of developing a historical account</w:t>
            </w:r>
          </w:p>
          <w:p w14:paraId="5060ADE1" w14:textId="519DC637" w:rsidR="00EF4FE9" w:rsidRPr="008C0E36" w:rsidRDefault="00EF4FE9" w:rsidP="008C0E36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8C0E36">
              <w:rPr>
                <w:sz w:val="22"/>
                <w:szCs w:val="22"/>
              </w:rPr>
              <w:t xml:space="preserve">mentions issues </w:t>
            </w:r>
            <w:r w:rsidR="00591783">
              <w:rPr>
                <w:sz w:val="22"/>
                <w:szCs w:val="22"/>
              </w:rPr>
              <w:t>of</w:t>
            </w:r>
            <w:r w:rsidRPr="008C0E36">
              <w:rPr>
                <w:sz w:val="22"/>
                <w:szCs w:val="22"/>
              </w:rPr>
              <w:t xml:space="preserve"> evidence</w:t>
            </w:r>
          </w:p>
          <w:p w14:paraId="0DAD6748" w14:textId="3EB8BD9E" w:rsidR="004011D0" w:rsidRPr="00C35C8F" w:rsidRDefault="00C35C8F" w:rsidP="009F55D3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 xml:space="preserve">communicates </w:t>
            </w:r>
            <w:r w:rsidR="00E064F9" w:rsidRPr="00EF4FE9">
              <w:rPr>
                <w:sz w:val="22"/>
                <w:szCs w:val="22"/>
              </w:rPr>
              <w:t xml:space="preserve">basic </w:t>
            </w:r>
            <w:r w:rsidR="009F55D3">
              <w:rPr>
                <w:sz w:val="22"/>
                <w:szCs w:val="22"/>
              </w:rPr>
              <w:t>historical understanding</w:t>
            </w:r>
            <w:r w:rsidR="00E064F9" w:rsidRPr="00EF4FE9">
              <w:rPr>
                <w:sz w:val="22"/>
                <w:szCs w:val="22"/>
              </w:rPr>
              <w:t xml:space="preserve"> through descriptive texts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FF1B3" w14:textId="63C3CEA2" w:rsidR="004011D0" w:rsidRPr="00BE1989" w:rsidRDefault="00EE42FE" w:rsidP="004652EF">
            <w:pPr>
              <w:spacing w:after="0"/>
              <w:jc w:val="center"/>
            </w:pPr>
            <w:r>
              <w:rPr>
                <w:rFonts w:eastAsia="Calibri"/>
                <w:sz w:val="22"/>
                <w:szCs w:val="22"/>
              </w:rPr>
              <w:t>9–16</w:t>
            </w:r>
          </w:p>
        </w:tc>
      </w:tr>
      <w:tr w:rsidR="004011D0" w14:paraId="132D32C2" w14:textId="77777777" w:rsidTr="000B7F7B"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DAD8" w14:textId="2D63BFD0" w:rsidR="004011D0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5C8F">
              <w:rPr>
                <w:sz w:val="22"/>
                <w:szCs w:val="22"/>
              </w:rPr>
              <w:t xml:space="preserve">resents limited information relating </w:t>
            </w:r>
            <w:r w:rsidR="001F49EC">
              <w:rPr>
                <w:sz w:val="22"/>
                <w:szCs w:val="22"/>
              </w:rPr>
              <w:t xml:space="preserve">to the role </w:t>
            </w:r>
            <w:r w:rsidRPr="00C35C8F">
              <w:rPr>
                <w:sz w:val="22"/>
                <w:szCs w:val="22"/>
              </w:rPr>
              <w:t>of Pemulwuy</w:t>
            </w:r>
          </w:p>
          <w:p w14:paraId="161A8D09" w14:textId="13A15303" w:rsidR="00C35C8F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limited to no use of sources</w:t>
            </w:r>
          </w:p>
          <w:p w14:paraId="7E88558D" w14:textId="48F7BED0" w:rsidR="00C35C8F" w:rsidRDefault="00C35C8F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limited to no reference of interpretations and representations of the past</w:t>
            </w:r>
          </w:p>
          <w:p w14:paraId="32581003" w14:textId="77777777" w:rsidR="00EF4FE9" w:rsidRDefault="00EF4FE9" w:rsidP="00EF4FE9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 w:rsidRPr="00EF4FE9">
              <w:rPr>
                <w:sz w:val="22"/>
                <w:szCs w:val="22"/>
              </w:rPr>
              <w:t>makes a limited attempt to reflect upon the process of developing a historical account</w:t>
            </w:r>
          </w:p>
          <w:p w14:paraId="0C80349C" w14:textId="5C01FD3B" w:rsidR="004011D0" w:rsidRPr="00107E40" w:rsidRDefault="000170AD" w:rsidP="009F55D3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displays limited historical understanding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EEAA9" w14:textId="173E6D85" w:rsidR="004011D0" w:rsidRPr="00BE1989" w:rsidRDefault="00EE42FE" w:rsidP="004652EF">
            <w:pPr>
              <w:spacing w:after="0"/>
              <w:jc w:val="center"/>
            </w:pPr>
            <w:r>
              <w:rPr>
                <w:rFonts w:eastAsia="Calibri"/>
                <w:sz w:val="22"/>
                <w:szCs w:val="22"/>
              </w:rPr>
              <w:t>1–8</w:t>
            </w:r>
          </w:p>
        </w:tc>
      </w:tr>
    </w:tbl>
    <w:p w14:paraId="55A55256" w14:textId="77777777" w:rsidR="003058F6" w:rsidRPr="003058F6" w:rsidRDefault="003058F6" w:rsidP="009B12D1">
      <w:pPr>
        <w:rPr>
          <w:rFonts w:cs="Arial"/>
          <w:sz w:val="22"/>
          <w:szCs w:val="22"/>
          <w:lang w:val="en-US"/>
        </w:rPr>
      </w:pPr>
    </w:p>
    <w:sectPr w:rsidR="003058F6" w:rsidRPr="003058F6" w:rsidSect="00107E4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9E82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F0028" w14:textId="77777777" w:rsidR="00F75054" w:rsidRDefault="00F75054" w:rsidP="00107E40">
      <w:pPr>
        <w:spacing w:after="0" w:line="240" w:lineRule="auto"/>
      </w:pPr>
      <w:r>
        <w:separator/>
      </w:r>
    </w:p>
  </w:endnote>
  <w:endnote w:type="continuationSeparator" w:id="0">
    <w:p w14:paraId="7905130E" w14:textId="77777777" w:rsidR="00F75054" w:rsidRDefault="00F75054" w:rsidP="0010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DEALF L+ Times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DEALC H+ Times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4FEC5" w14:textId="77777777" w:rsidR="00F75054" w:rsidRDefault="00F75054" w:rsidP="00107E40">
      <w:pPr>
        <w:spacing w:after="0" w:line="240" w:lineRule="auto"/>
      </w:pPr>
      <w:r>
        <w:separator/>
      </w:r>
    </w:p>
  </w:footnote>
  <w:footnote w:type="continuationSeparator" w:id="0">
    <w:p w14:paraId="31ACC45B" w14:textId="77777777" w:rsidR="00F75054" w:rsidRDefault="00F75054" w:rsidP="0010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64"/>
    <w:multiLevelType w:val="hybridMultilevel"/>
    <w:tmpl w:val="97EE1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D7C92"/>
    <w:multiLevelType w:val="hybridMultilevel"/>
    <w:tmpl w:val="BD24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9B3"/>
    <w:multiLevelType w:val="hybridMultilevel"/>
    <w:tmpl w:val="ACF4B3A2"/>
    <w:lvl w:ilvl="0" w:tplc="0C0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91CDC"/>
    <w:multiLevelType w:val="hybridMultilevel"/>
    <w:tmpl w:val="B1AA4B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580D"/>
    <w:multiLevelType w:val="hybridMultilevel"/>
    <w:tmpl w:val="63AC2684"/>
    <w:lvl w:ilvl="0" w:tplc="0C0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01C0F"/>
    <w:multiLevelType w:val="hybridMultilevel"/>
    <w:tmpl w:val="422E5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0509A"/>
    <w:multiLevelType w:val="hybridMultilevel"/>
    <w:tmpl w:val="DEBA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32B77"/>
    <w:multiLevelType w:val="hybridMultilevel"/>
    <w:tmpl w:val="44083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1085D"/>
    <w:multiLevelType w:val="hybridMultilevel"/>
    <w:tmpl w:val="019E504E"/>
    <w:lvl w:ilvl="0" w:tplc="4A9CC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570A"/>
    <w:multiLevelType w:val="hybridMultilevel"/>
    <w:tmpl w:val="B9DE29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B5DF5"/>
    <w:multiLevelType w:val="hybridMultilevel"/>
    <w:tmpl w:val="B7CA2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65780"/>
    <w:multiLevelType w:val="hybridMultilevel"/>
    <w:tmpl w:val="034A65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6"/>
  </w:num>
  <w:num w:numId="11">
    <w:abstractNumId w:val="7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.higgins">
    <w15:presenceInfo w15:providerId="None" w15:userId="jo.higg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170AD"/>
    <w:rsid w:val="000426BF"/>
    <w:rsid w:val="00045827"/>
    <w:rsid w:val="00054CE3"/>
    <w:rsid w:val="00057AB6"/>
    <w:rsid w:val="00067B14"/>
    <w:rsid w:val="000A04C7"/>
    <w:rsid w:val="000B591F"/>
    <w:rsid w:val="000B7F7B"/>
    <w:rsid w:val="000E21CD"/>
    <w:rsid w:val="00104F4A"/>
    <w:rsid w:val="00105E84"/>
    <w:rsid w:val="00107E40"/>
    <w:rsid w:val="0012285E"/>
    <w:rsid w:val="00123403"/>
    <w:rsid w:val="0012526D"/>
    <w:rsid w:val="0016679C"/>
    <w:rsid w:val="00186360"/>
    <w:rsid w:val="001B0BC1"/>
    <w:rsid w:val="001C205F"/>
    <w:rsid w:val="001D3364"/>
    <w:rsid w:val="001F1AF6"/>
    <w:rsid w:val="001F1E82"/>
    <w:rsid w:val="001F49EC"/>
    <w:rsid w:val="00206874"/>
    <w:rsid w:val="002242F8"/>
    <w:rsid w:val="002256A5"/>
    <w:rsid w:val="002409CE"/>
    <w:rsid w:val="002452DE"/>
    <w:rsid w:val="00252839"/>
    <w:rsid w:val="002729E5"/>
    <w:rsid w:val="002A6C62"/>
    <w:rsid w:val="002B11DB"/>
    <w:rsid w:val="003058F6"/>
    <w:rsid w:val="003853F0"/>
    <w:rsid w:val="003A227D"/>
    <w:rsid w:val="003C5707"/>
    <w:rsid w:val="003C7C01"/>
    <w:rsid w:val="003E61E3"/>
    <w:rsid w:val="003E70BA"/>
    <w:rsid w:val="004011D0"/>
    <w:rsid w:val="0041105D"/>
    <w:rsid w:val="004404B8"/>
    <w:rsid w:val="00446EED"/>
    <w:rsid w:val="00496628"/>
    <w:rsid w:val="00496A8D"/>
    <w:rsid w:val="004D0185"/>
    <w:rsid w:val="004E7280"/>
    <w:rsid w:val="004F438D"/>
    <w:rsid w:val="00512F24"/>
    <w:rsid w:val="00525989"/>
    <w:rsid w:val="005311B1"/>
    <w:rsid w:val="00591783"/>
    <w:rsid w:val="005B2251"/>
    <w:rsid w:val="005D5F5A"/>
    <w:rsid w:val="00620B65"/>
    <w:rsid w:val="00631E30"/>
    <w:rsid w:val="0064677D"/>
    <w:rsid w:val="006D0321"/>
    <w:rsid w:val="00711A2C"/>
    <w:rsid w:val="007156A3"/>
    <w:rsid w:val="00723FEF"/>
    <w:rsid w:val="007708D0"/>
    <w:rsid w:val="00781B81"/>
    <w:rsid w:val="00792CDC"/>
    <w:rsid w:val="007C539E"/>
    <w:rsid w:val="007E0276"/>
    <w:rsid w:val="007E2E1A"/>
    <w:rsid w:val="007F6D45"/>
    <w:rsid w:val="00817E90"/>
    <w:rsid w:val="008526BD"/>
    <w:rsid w:val="00874286"/>
    <w:rsid w:val="008962AE"/>
    <w:rsid w:val="008C0E36"/>
    <w:rsid w:val="008C309D"/>
    <w:rsid w:val="008D1960"/>
    <w:rsid w:val="008E48DB"/>
    <w:rsid w:val="008E79AB"/>
    <w:rsid w:val="008F7575"/>
    <w:rsid w:val="00902A7C"/>
    <w:rsid w:val="0093170F"/>
    <w:rsid w:val="00942F5F"/>
    <w:rsid w:val="009A3F0D"/>
    <w:rsid w:val="009B12D1"/>
    <w:rsid w:val="009E5E48"/>
    <w:rsid w:val="009F55D3"/>
    <w:rsid w:val="009F741D"/>
    <w:rsid w:val="00A22E10"/>
    <w:rsid w:val="00A60D8F"/>
    <w:rsid w:val="00A67ED6"/>
    <w:rsid w:val="00AA0A65"/>
    <w:rsid w:val="00AA69F6"/>
    <w:rsid w:val="00AB21D3"/>
    <w:rsid w:val="00AF6C1E"/>
    <w:rsid w:val="00B679B7"/>
    <w:rsid w:val="00B71B73"/>
    <w:rsid w:val="00BA60CE"/>
    <w:rsid w:val="00BB0946"/>
    <w:rsid w:val="00BC1DCD"/>
    <w:rsid w:val="00BE73A5"/>
    <w:rsid w:val="00C32EA4"/>
    <w:rsid w:val="00C35C8F"/>
    <w:rsid w:val="00C75FDA"/>
    <w:rsid w:val="00C81750"/>
    <w:rsid w:val="00CC3A15"/>
    <w:rsid w:val="00D000DB"/>
    <w:rsid w:val="00D1385A"/>
    <w:rsid w:val="00D87998"/>
    <w:rsid w:val="00D93A3D"/>
    <w:rsid w:val="00DC045C"/>
    <w:rsid w:val="00DC305F"/>
    <w:rsid w:val="00E064F9"/>
    <w:rsid w:val="00E104CA"/>
    <w:rsid w:val="00E221A7"/>
    <w:rsid w:val="00E501E6"/>
    <w:rsid w:val="00E913F8"/>
    <w:rsid w:val="00E945FB"/>
    <w:rsid w:val="00ED192A"/>
    <w:rsid w:val="00EE42FE"/>
    <w:rsid w:val="00EF4FE9"/>
    <w:rsid w:val="00F22D16"/>
    <w:rsid w:val="00F37D02"/>
    <w:rsid w:val="00F7454D"/>
    <w:rsid w:val="00F75054"/>
    <w:rsid w:val="00FD53D2"/>
    <w:rsid w:val="00FD5A46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0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customStyle="1" w:styleId="Default">
    <w:name w:val="Default"/>
    <w:rsid w:val="00ED192A"/>
    <w:pPr>
      <w:autoSpaceDE w:val="0"/>
      <w:autoSpaceDN w:val="0"/>
      <w:adjustRightInd w:val="0"/>
      <w:spacing w:after="0" w:line="240" w:lineRule="auto"/>
    </w:pPr>
    <w:rPr>
      <w:rFonts w:ascii="DEALF L+ Times" w:eastAsia="Calibri" w:hAnsi="DEALF L+ Times" w:cs="DEALC H+ Time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7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AB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AB6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AB6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B6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792CDC"/>
    <w:rPr>
      <w:color w:val="5F5F5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7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40"/>
    <w:rPr>
      <w:rFonts w:ascii="Arial" w:eastAsia="SimSun" w:hAnsi="Arial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customStyle="1" w:styleId="Default">
    <w:name w:val="Default"/>
    <w:rsid w:val="00ED192A"/>
    <w:pPr>
      <w:autoSpaceDE w:val="0"/>
      <w:autoSpaceDN w:val="0"/>
      <w:adjustRightInd w:val="0"/>
      <w:spacing w:after="0" w:line="240" w:lineRule="auto"/>
    </w:pPr>
    <w:rPr>
      <w:rFonts w:ascii="DEALF L+ Times" w:eastAsia="Calibri" w:hAnsi="DEALF L+ Times" w:cs="DEALC H+ Time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7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AB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AB6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AB6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B6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792CDC"/>
    <w:rPr>
      <w:color w:val="5F5F5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7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40"/>
    <w:rPr>
      <w:rFonts w:ascii="Arial" w:eastAsia="SimSu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95EA-F803-4830-8220-5564245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Formal Assessment Task The Construction of Modern Histories The Age of Imperialism</vt:lpstr>
    </vt:vector>
  </TitlesOfParts>
  <Company>NSW Education Standards Authority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Formal Assessment Task The Construction of Modern Histories The Age of Imperialism</dc:title>
  <dc:creator>NSW Education Standards Authority</dc:creator>
  <cp:lastModifiedBy>Darren Tayler</cp:lastModifiedBy>
  <cp:revision>78</cp:revision>
  <cp:lastPrinted>2017-11-17T02:20:00Z</cp:lastPrinted>
  <dcterms:created xsi:type="dcterms:W3CDTF">2016-10-18T23:33:00Z</dcterms:created>
  <dcterms:modified xsi:type="dcterms:W3CDTF">2018-01-11T01:29:00Z</dcterms:modified>
</cp:coreProperties>
</file>