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022C" w:rsidRDefault="006E4667">
      <w:pPr>
        <w:pStyle w:val="Heading1"/>
      </w:pPr>
      <w:bookmarkStart w:id="0" w:name="_GoBack"/>
      <w:bookmarkEnd w:id="0"/>
      <w:r>
        <w:t xml:space="preserve">Sample Scope and Sequence: Mathematics </w:t>
      </w:r>
      <w:r w:rsidR="00B30F2F">
        <w:t xml:space="preserve">Life Skills </w:t>
      </w:r>
      <w:r>
        <w:t>– Year 11</w:t>
      </w:r>
    </w:p>
    <w:p w:rsidR="00E44720" w:rsidRPr="00E44720" w:rsidRDefault="00E44720" w:rsidP="00E44720">
      <w:pPr>
        <w:jc w:val="center"/>
        <w:rPr>
          <w:b/>
          <w:i/>
          <w:sz w:val="20"/>
          <w:szCs w:val="20"/>
        </w:rPr>
      </w:pPr>
      <w:r w:rsidRPr="00E44720">
        <w:rPr>
          <w:b/>
          <w:i/>
          <w:sz w:val="20"/>
          <w:szCs w:val="20"/>
        </w:rPr>
        <w:t>Sample for implem</w:t>
      </w:r>
      <w:r>
        <w:rPr>
          <w:b/>
          <w:i/>
          <w:sz w:val="20"/>
          <w:szCs w:val="20"/>
        </w:rPr>
        <w:t>entation for Year 11 from 2018</w:t>
      </w:r>
    </w:p>
    <w:tbl>
      <w:tblPr>
        <w:tblStyle w:val="a"/>
        <w:tblW w:w="1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1466"/>
        <w:gridCol w:w="1466"/>
        <w:gridCol w:w="1466"/>
        <w:gridCol w:w="1465"/>
        <w:gridCol w:w="1465"/>
        <w:gridCol w:w="1465"/>
        <w:gridCol w:w="1465"/>
        <w:gridCol w:w="1465"/>
        <w:gridCol w:w="1465"/>
        <w:gridCol w:w="1465"/>
      </w:tblGrid>
      <w:tr w:rsidR="004B022C">
        <w:tc>
          <w:tcPr>
            <w:tcW w:w="69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Term 1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1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2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3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4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5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6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7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8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9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10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/>
        </w:tc>
        <w:tc>
          <w:tcPr>
            <w:tcW w:w="1465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Pr="00934077" w:rsidRDefault="006E4667">
            <w:r>
              <w:rPr>
                <w:sz w:val="22"/>
                <w:szCs w:val="22"/>
              </w:rPr>
              <w:t xml:space="preserve">Topic: </w:t>
            </w:r>
            <w:r w:rsidRPr="00934077">
              <w:rPr>
                <w:sz w:val="22"/>
                <w:szCs w:val="22"/>
              </w:rPr>
              <w:t>Number and Modelling</w:t>
            </w:r>
          </w:p>
          <w:p w:rsidR="004B022C" w:rsidRDefault="006E4667">
            <w:r>
              <w:rPr>
                <w:sz w:val="22"/>
                <w:szCs w:val="22"/>
              </w:rPr>
              <w:t>Subtopics: MLS-N1 Review of Number Properties; MLS-N2 Mathematical Modelling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/>
        </w:tc>
        <w:tc>
          <w:tcPr>
            <w:tcW w:w="1465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 w:rsidP="00AF33C7">
            <w:r>
              <w:rPr>
                <w:sz w:val="22"/>
                <w:szCs w:val="22"/>
              </w:rPr>
              <w:t xml:space="preserve">This unit provides students with the opportunity to review </w:t>
            </w:r>
            <w:r w:rsidR="008C3337">
              <w:rPr>
                <w:sz w:val="22"/>
                <w:szCs w:val="22"/>
              </w:rPr>
              <w:t>and extend their knowledge, u</w:t>
            </w:r>
            <w:r>
              <w:rPr>
                <w:sz w:val="22"/>
                <w:szCs w:val="22"/>
              </w:rPr>
              <w:t xml:space="preserve">nderstanding </w:t>
            </w:r>
            <w:r w:rsidR="008C3337">
              <w:rPr>
                <w:sz w:val="22"/>
                <w:szCs w:val="22"/>
              </w:rPr>
              <w:t>and skills relating to</w:t>
            </w:r>
            <w:r>
              <w:rPr>
                <w:sz w:val="22"/>
                <w:szCs w:val="22"/>
              </w:rPr>
              <w:t xml:space="preserve"> number, and apply </w:t>
            </w:r>
            <w:r w:rsidR="00AF33C7">
              <w:rPr>
                <w:sz w:val="22"/>
                <w:szCs w:val="22"/>
              </w:rPr>
              <w:t>this to</w:t>
            </w:r>
            <w:r>
              <w:rPr>
                <w:sz w:val="22"/>
                <w:szCs w:val="22"/>
              </w:rPr>
              <w:t xml:space="preserve"> real-life situations.  Mathematical Modelling provides further opportunities to develop the components of Working Mathematically in real-life situations.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/>
        </w:tc>
        <w:tc>
          <w:tcPr>
            <w:tcW w:w="1465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r>
              <w:rPr>
                <w:sz w:val="22"/>
                <w:szCs w:val="22"/>
              </w:rPr>
              <w:t>MALS6-1, MALS6-2, MALS6-7, MALS6-8, MALS6-13, MALS6-14</w:t>
            </w:r>
          </w:p>
        </w:tc>
      </w:tr>
    </w:tbl>
    <w:p w:rsidR="004B022C" w:rsidRDefault="004B022C">
      <w:pPr>
        <w:spacing w:after="0" w:line="240" w:lineRule="auto"/>
      </w:pPr>
    </w:p>
    <w:tbl>
      <w:tblPr>
        <w:tblStyle w:val="a0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1463"/>
        <w:gridCol w:w="1463"/>
        <w:gridCol w:w="1463"/>
        <w:gridCol w:w="1463"/>
        <w:gridCol w:w="1462"/>
        <w:gridCol w:w="1462"/>
        <w:gridCol w:w="1462"/>
        <w:gridCol w:w="1462"/>
        <w:gridCol w:w="1462"/>
        <w:gridCol w:w="1462"/>
      </w:tblGrid>
      <w:tr w:rsidR="004B022C">
        <w:tc>
          <w:tcPr>
            <w:tcW w:w="69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Term 2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1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2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3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4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5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6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7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8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9</w:t>
            </w:r>
          </w:p>
        </w:tc>
        <w:tc>
          <w:tcPr>
            <w:tcW w:w="14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10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/>
        </w:tc>
        <w:tc>
          <w:tcPr>
            <w:tcW w:w="1462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Pr="00934077" w:rsidRDefault="006E4667">
            <w:r>
              <w:rPr>
                <w:sz w:val="22"/>
                <w:szCs w:val="22"/>
              </w:rPr>
              <w:t xml:space="preserve">Topic: </w:t>
            </w:r>
            <w:r w:rsidRPr="00934077">
              <w:rPr>
                <w:sz w:val="22"/>
                <w:szCs w:val="22"/>
              </w:rPr>
              <w:t xml:space="preserve">Financial </w:t>
            </w:r>
            <w:r w:rsidR="009972BE" w:rsidRPr="00934077">
              <w:rPr>
                <w:sz w:val="22"/>
                <w:szCs w:val="22"/>
              </w:rPr>
              <w:t>Mathematics</w:t>
            </w:r>
          </w:p>
          <w:p w:rsidR="004B022C" w:rsidRDefault="006E4667">
            <w:r>
              <w:rPr>
                <w:sz w:val="22"/>
                <w:szCs w:val="22"/>
              </w:rPr>
              <w:t>Subtopics: MLS-F1 Decimals, Percentages and Money; MLS-F2 Earning Money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/>
        </w:tc>
        <w:tc>
          <w:tcPr>
            <w:tcW w:w="1462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r>
              <w:rPr>
                <w:sz w:val="22"/>
                <w:szCs w:val="22"/>
              </w:rPr>
              <w:t>This unit provides students with the opportunity</w:t>
            </w:r>
            <w:r w:rsidR="008C3337">
              <w:rPr>
                <w:sz w:val="22"/>
                <w:szCs w:val="22"/>
              </w:rPr>
              <w:t xml:space="preserve"> to develop their knowledge, </w:t>
            </w:r>
            <w:r>
              <w:rPr>
                <w:sz w:val="22"/>
                <w:szCs w:val="22"/>
              </w:rPr>
              <w:t xml:space="preserve">understanding </w:t>
            </w:r>
            <w:r w:rsidR="008C3337">
              <w:rPr>
                <w:sz w:val="22"/>
                <w:szCs w:val="22"/>
              </w:rPr>
              <w:t xml:space="preserve">and skills relating to </w:t>
            </w:r>
            <w:r>
              <w:rPr>
                <w:sz w:val="22"/>
                <w:szCs w:val="22"/>
              </w:rPr>
              <w:t>money, including earning money and associated documents, calculations and deductions.  Student</w:t>
            </w:r>
            <w:r w:rsidR="008C3337">
              <w:rPr>
                <w:sz w:val="22"/>
                <w:szCs w:val="22"/>
              </w:rPr>
              <w:t xml:space="preserve">s can apply their knowledge, </w:t>
            </w:r>
            <w:r>
              <w:rPr>
                <w:sz w:val="22"/>
                <w:szCs w:val="22"/>
              </w:rPr>
              <w:t xml:space="preserve">understanding </w:t>
            </w:r>
            <w:r w:rsidR="008C3337">
              <w:rPr>
                <w:sz w:val="22"/>
                <w:szCs w:val="22"/>
              </w:rPr>
              <w:t xml:space="preserve">and skills </w:t>
            </w:r>
            <w:r>
              <w:rPr>
                <w:sz w:val="22"/>
                <w:szCs w:val="22"/>
              </w:rPr>
              <w:t>to real-life situations.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/>
        </w:tc>
        <w:tc>
          <w:tcPr>
            <w:tcW w:w="1462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r>
              <w:rPr>
                <w:sz w:val="22"/>
                <w:szCs w:val="22"/>
              </w:rPr>
              <w:t>MALS6-1, MALS6-5, MALS6-6, MALS6-13, MALS6-14</w:t>
            </w:r>
          </w:p>
        </w:tc>
      </w:tr>
    </w:tbl>
    <w:p w:rsidR="004B022C" w:rsidRDefault="004B022C">
      <w:pPr>
        <w:spacing w:after="0" w:line="240" w:lineRule="auto"/>
      </w:pPr>
    </w:p>
    <w:tbl>
      <w:tblPr>
        <w:tblStyle w:val="a1"/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4B022C">
        <w:tc>
          <w:tcPr>
            <w:tcW w:w="69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Term 3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1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2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3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4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5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6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7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8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9</w:t>
            </w:r>
          </w:p>
        </w:tc>
        <w:tc>
          <w:tcPr>
            <w:tcW w:w="14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pPr>
              <w:pStyle w:val="Heading2"/>
              <w:spacing w:before="0"/>
              <w:outlineLvl w:val="1"/>
            </w:pPr>
            <w:r>
              <w:rPr>
                <w:sz w:val="22"/>
                <w:szCs w:val="22"/>
              </w:rPr>
              <w:t>Week 10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>
            <w:bookmarkStart w:id="1" w:name="_gjdgxs" w:colFirst="0" w:colLast="0"/>
            <w:bookmarkEnd w:id="1"/>
          </w:p>
        </w:tc>
        <w:tc>
          <w:tcPr>
            <w:tcW w:w="1464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r>
              <w:rPr>
                <w:sz w:val="22"/>
                <w:szCs w:val="22"/>
              </w:rPr>
              <w:t xml:space="preserve">Topics: </w:t>
            </w:r>
            <w:r>
              <w:rPr>
                <w:i/>
                <w:sz w:val="22"/>
                <w:szCs w:val="22"/>
              </w:rPr>
              <w:t xml:space="preserve">On the Move </w:t>
            </w:r>
            <w:r w:rsidR="009972B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Statistics and Probability; Plans, Maps and Networks (Networks); Financial Mathematics; Measurement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(see sample unit)</w:t>
            </w:r>
          </w:p>
          <w:p w:rsidR="004B022C" w:rsidRDefault="006E4667">
            <w:r>
              <w:rPr>
                <w:sz w:val="22"/>
                <w:szCs w:val="22"/>
              </w:rPr>
              <w:t>Subtopics: MLS-S1 Statistics; MLS-P1 Using Plans, Maps and Networks; MLS-F3 Spending Money; MLS-M1 Everyday Measurement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/>
        </w:tc>
        <w:tc>
          <w:tcPr>
            <w:tcW w:w="1464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r>
              <w:rPr>
                <w:color w:val="222222"/>
                <w:sz w:val="22"/>
                <w:szCs w:val="22"/>
                <w:highlight w:val="white"/>
              </w:rPr>
              <w:t>This unit is based on the theme of travel and brings together and extends some of the learning from a number of topics.</w:t>
            </w:r>
            <w:r>
              <w:rPr>
                <w:sz w:val="22"/>
                <w:szCs w:val="22"/>
              </w:rPr>
              <w:t xml:space="preserve"> Students use a range of mathematical skills related to t</w:t>
            </w:r>
            <w:r w:rsidR="00AF33C7">
              <w:rPr>
                <w:sz w:val="22"/>
                <w:szCs w:val="22"/>
              </w:rPr>
              <w:t xml:space="preserve">raveling in their community including </w:t>
            </w:r>
            <w:r>
              <w:rPr>
                <w:sz w:val="22"/>
                <w:szCs w:val="22"/>
              </w:rPr>
              <w:t>data use and analysis, measurement, using money, working with maps and networks</w:t>
            </w:r>
            <w:r w:rsidR="009972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reading and using timetables.</w:t>
            </w:r>
          </w:p>
        </w:tc>
      </w:tr>
      <w:tr w:rsidR="004B022C">
        <w:trPr>
          <w:trHeight w:val="320"/>
        </w:trPr>
        <w:tc>
          <w:tcPr>
            <w:tcW w:w="69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22C" w:rsidRDefault="004B022C"/>
        </w:tc>
        <w:tc>
          <w:tcPr>
            <w:tcW w:w="1464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22C" w:rsidRDefault="006E4667">
            <w:r>
              <w:rPr>
                <w:sz w:val="22"/>
                <w:szCs w:val="22"/>
              </w:rPr>
              <w:t>MALS6-2, MALS6-3, MALS6-4, MALS6-5, MALS6-9, MALS6-11, MALS6-12</w:t>
            </w:r>
          </w:p>
        </w:tc>
      </w:tr>
    </w:tbl>
    <w:p w:rsidR="004B022C" w:rsidRDefault="004B022C"/>
    <w:sectPr w:rsidR="004B022C" w:rsidSect="004557BA">
      <w:pgSz w:w="16839" w:h="11907" w:orient="landscape" w:code="9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56" w:rsidRDefault="00FC6C56" w:rsidP="004557BA">
      <w:pPr>
        <w:spacing w:after="0" w:line="240" w:lineRule="auto"/>
      </w:pPr>
      <w:r>
        <w:separator/>
      </w:r>
    </w:p>
  </w:endnote>
  <w:endnote w:type="continuationSeparator" w:id="0">
    <w:p w:rsidR="00FC6C56" w:rsidRDefault="00FC6C56" w:rsidP="0045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56" w:rsidRDefault="00FC6C56" w:rsidP="004557BA">
      <w:pPr>
        <w:spacing w:after="0" w:line="240" w:lineRule="auto"/>
      </w:pPr>
      <w:r>
        <w:separator/>
      </w:r>
    </w:p>
  </w:footnote>
  <w:footnote w:type="continuationSeparator" w:id="0">
    <w:p w:rsidR="00FC6C56" w:rsidRDefault="00FC6C56" w:rsidP="00455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022C"/>
    <w:rsid w:val="000E3A6E"/>
    <w:rsid w:val="00361BF6"/>
    <w:rsid w:val="004557BA"/>
    <w:rsid w:val="004B022C"/>
    <w:rsid w:val="00511AD9"/>
    <w:rsid w:val="006E4667"/>
    <w:rsid w:val="008C3337"/>
    <w:rsid w:val="00934077"/>
    <w:rsid w:val="009972BE"/>
    <w:rsid w:val="009D6ABF"/>
    <w:rsid w:val="00A83E56"/>
    <w:rsid w:val="00AF33C7"/>
    <w:rsid w:val="00B30F2F"/>
    <w:rsid w:val="00D614E2"/>
    <w:rsid w:val="00E44720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BA"/>
  </w:style>
  <w:style w:type="paragraph" w:styleId="Footer">
    <w:name w:val="footer"/>
    <w:basedOn w:val="Normal"/>
    <w:link w:val="FooterChar"/>
    <w:uiPriority w:val="99"/>
    <w:unhideWhenUsed/>
    <w:rsid w:val="0045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BA"/>
  </w:style>
  <w:style w:type="paragraph" w:styleId="Footer">
    <w:name w:val="footer"/>
    <w:basedOn w:val="Normal"/>
    <w:link w:val="FooterChar"/>
    <w:uiPriority w:val="99"/>
    <w:unhideWhenUsed/>
    <w:rsid w:val="0045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Year 11 Mathematics Life Skills</dc:title>
  <dc:creator>NESA</dc:creator>
  <cp:lastModifiedBy>Lauren Wood</cp:lastModifiedBy>
  <cp:revision>10</cp:revision>
  <cp:lastPrinted>2017-03-20T22:06:00Z</cp:lastPrinted>
  <dcterms:created xsi:type="dcterms:W3CDTF">2017-01-24T23:46:00Z</dcterms:created>
  <dcterms:modified xsi:type="dcterms:W3CDTF">2017-03-23T02:36:00Z</dcterms:modified>
</cp:coreProperties>
</file>