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94576" w14:textId="396A061F" w:rsidR="00FB7BF7" w:rsidRDefault="00FB7BF7" w:rsidP="00FB7BF7">
      <w:pPr>
        <w:pStyle w:val="Heading1"/>
      </w:pPr>
      <w:r>
        <w:softHyphen/>
        <w:t>Sample Unit –</w:t>
      </w:r>
      <w:r w:rsidR="00942FD3">
        <w:t xml:space="preserve"> </w:t>
      </w:r>
      <w:r>
        <w:t>History Extension – Year 12</w:t>
      </w:r>
    </w:p>
    <w:p w14:paraId="424CCD38" w14:textId="4018B1B2" w:rsidR="00B74F3A" w:rsidRPr="00790AAB" w:rsidRDefault="00B74F3A" w:rsidP="00B74F3A">
      <w:pPr>
        <w:pStyle w:val="Heading1"/>
        <w:rPr>
          <w:i/>
          <w:sz w:val="20"/>
          <w:szCs w:val="20"/>
        </w:rPr>
      </w:pPr>
      <w:r w:rsidRPr="00790AAB">
        <w:rPr>
          <w:i/>
          <w:sz w:val="20"/>
          <w:szCs w:val="20"/>
        </w:rPr>
        <w:t>Sampl</w:t>
      </w:r>
      <w:r>
        <w:rPr>
          <w:i/>
          <w:sz w:val="20"/>
          <w:szCs w:val="20"/>
        </w:rPr>
        <w:t>e for implementation for Year 12</w:t>
      </w:r>
      <w:r w:rsidRPr="00790AAB">
        <w:rPr>
          <w:i/>
          <w:sz w:val="20"/>
          <w:szCs w:val="20"/>
        </w:rPr>
        <w:t xml:space="preserve"> from </w:t>
      </w:r>
      <w:r>
        <w:rPr>
          <w:i/>
          <w:sz w:val="20"/>
          <w:szCs w:val="20"/>
        </w:rPr>
        <w:t xml:space="preserve">Term 4, </w:t>
      </w:r>
      <w:r w:rsidRPr="00790AAB">
        <w:rPr>
          <w:i/>
          <w:sz w:val="20"/>
          <w:szCs w:val="20"/>
        </w:rPr>
        <w:t>2018</w:t>
      </w:r>
    </w:p>
    <w:tbl>
      <w:tblPr>
        <w:tblStyle w:val="TableGrid"/>
        <w:tblW w:w="15400" w:type="dxa"/>
        <w:tblInd w:w="57"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1938"/>
        <w:gridCol w:w="9119"/>
        <w:gridCol w:w="1701"/>
        <w:gridCol w:w="2642"/>
      </w:tblGrid>
      <w:tr w:rsidR="008028BB" w:rsidRPr="005A2377" w14:paraId="19D738A7" w14:textId="77777777" w:rsidTr="008028BB">
        <w:trPr>
          <w:cantSplit/>
          <w:tblHeader/>
        </w:trPr>
        <w:tc>
          <w:tcPr>
            <w:tcW w:w="1938" w:type="dxa"/>
            <w:tcMar>
              <w:top w:w="57" w:type="dxa"/>
              <w:left w:w="57" w:type="dxa"/>
              <w:bottom w:w="57" w:type="dxa"/>
              <w:right w:w="57" w:type="dxa"/>
            </w:tcMar>
          </w:tcPr>
          <w:p w14:paraId="5DD17140" w14:textId="005FC796" w:rsidR="006B78EF" w:rsidRPr="005A2377" w:rsidRDefault="0039721F" w:rsidP="005A2377">
            <w:pPr>
              <w:rPr>
                <w:b/>
                <w:sz w:val="22"/>
              </w:rPr>
            </w:pPr>
            <w:r w:rsidRPr="005A2377">
              <w:rPr>
                <w:b/>
                <w:sz w:val="22"/>
              </w:rPr>
              <w:t>Un</w:t>
            </w:r>
            <w:r w:rsidR="006B78EF" w:rsidRPr="005A2377">
              <w:rPr>
                <w:b/>
                <w:sz w:val="22"/>
              </w:rPr>
              <w:t xml:space="preserve">it </w:t>
            </w:r>
            <w:r w:rsidR="007B61F3">
              <w:rPr>
                <w:b/>
                <w:sz w:val="22"/>
              </w:rPr>
              <w:t>t</w:t>
            </w:r>
            <w:r w:rsidR="00127B20" w:rsidRPr="005A2377">
              <w:rPr>
                <w:b/>
                <w:sz w:val="22"/>
              </w:rPr>
              <w:t>itle</w:t>
            </w:r>
          </w:p>
        </w:tc>
        <w:tc>
          <w:tcPr>
            <w:tcW w:w="9119" w:type="dxa"/>
            <w:tcMar>
              <w:top w:w="57" w:type="dxa"/>
              <w:left w:w="57" w:type="dxa"/>
              <w:bottom w:w="57" w:type="dxa"/>
              <w:right w:w="57" w:type="dxa"/>
            </w:tcMar>
          </w:tcPr>
          <w:p w14:paraId="46F2837C" w14:textId="2976793B" w:rsidR="006B78EF" w:rsidRPr="005A2377" w:rsidRDefault="00AC31E1" w:rsidP="005A2377">
            <w:pPr>
              <w:rPr>
                <w:sz w:val="22"/>
              </w:rPr>
            </w:pPr>
            <w:r>
              <w:rPr>
                <w:sz w:val="22"/>
              </w:rPr>
              <w:t>Case Study Introduction</w:t>
            </w:r>
            <w:r w:rsidR="008028BB">
              <w:rPr>
                <w:sz w:val="22"/>
              </w:rPr>
              <w:t>: Option 18 – The Partition of India</w:t>
            </w:r>
            <w:r w:rsidR="00020590">
              <w:rPr>
                <w:sz w:val="22"/>
              </w:rPr>
              <w:t xml:space="preserve"> (causes of the Partition)</w:t>
            </w:r>
          </w:p>
        </w:tc>
        <w:tc>
          <w:tcPr>
            <w:tcW w:w="1701" w:type="dxa"/>
            <w:tcMar>
              <w:top w:w="57" w:type="dxa"/>
              <w:left w:w="57" w:type="dxa"/>
              <w:bottom w:w="57" w:type="dxa"/>
              <w:right w:w="57" w:type="dxa"/>
            </w:tcMar>
          </w:tcPr>
          <w:p w14:paraId="60AB00B7" w14:textId="77777777" w:rsidR="006B78EF" w:rsidRPr="005A2377" w:rsidRDefault="00127B20" w:rsidP="005A2377">
            <w:pPr>
              <w:rPr>
                <w:b/>
                <w:sz w:val="22"/>
              </w:rPr>
            </w:pPr>
            <w:r w:rsidRPr="005A2377">
              <w:rPr>
                <w:b/>
                <w:sz w:val="22"/>
              </w:rPr>
              <w:t>Duration</w:t>
            </w:r>
          </w:p>
        </w:tc>
        <w:tc>
          <w:tcPr>
            <w:tcW w:w="2642" w:type="dxa"/>
            <w:tcMar>
              <w:top w:w="57" w:type="dxa"/>
              <w:left w:w="57" w:type="dxa"/>
              <w:bottom w:w="57" w:type="dxa"/>
              <w:right w:w="57" w:type="dxa"/>
            </w:tcMar>
          </w:tcPr>
          <w:p w14:paraId="1B475010" w14:textId="422290E3" w:rsidR="006B78EF" w:rsidRPr="00F05254" w:rsidRDefault="00877EC5" w:rsidP="00877EC5">
            <w:pPr>
              <w:rPr>
                <w:rFonts w:cs="Arial"/>
                <w:sz w:val="22"/>
              </w:rPr>
            </w:pPr>
            <w:r>
              <w:rPr>
                <w:rFonts w:cs="Arial"/>
                <w:sz w:val="22"/>
              </w:rPr>
              <w:t>7</w:t>
            </w:r>
            <w:r w:rsidR="003B632F">
              <w:rPr>
                <w:rFonts w:cs="Arial"/>
                <w:sz w:val="22"/>
              </w:rPr>
              <w:t xml:space="preserve"> </w:t>
            </w:r>
            <w:r>
              <w:rPr>
                <w:rFonts w:cs="Arial"/>
                <w:sz w:val="22"/>
              </w:rPr>
              <w:t>hours</w:t>
            </w:r>
            <w:bookmarkStart w:id="0" w:name="_GoBack"/>
            <w:bookmarkEnd w:id="0"/>
            <w:r w:rsidR="003B632F">
              <w:rPr>
                <w:rFonts w:cs="Arial"/>
                <w:sz w:val="22"/>
              </w:rPr>
              <w:t xml:space="preserve"> of the Case Study (</w:t>
            </w:r>
            <w:r>
              <w:rPr>
                <w:rFonts w:cs="Arial"/>
                <w:sz w:val="22"/>
              </w:rPr>
              <w:t>21</w:t>
            </w:r>
            <w:r w:rsidR="004A3F38" w:rsidRPr="00F05254">
              <w:rPr>
                <w:rFonts w:cs="Arial"/>
                <w:sz w:val="22"/>
              </w:rPr>
              <w:t xml:space="preserve"> </w:t>
            </w:r>
            <w:r>
              <w:rPr>
                <w:rFonts w:cs="Arial"/>
                <w:sz w:val="22"/>
              </w:rPr>
              <w:t>hours</w:t>
            </w:r>
            <w:r w:rsidR="003B632F">
              <w:rPr>
                <w:rFonts w:cs="Arial"/>
                <w:sz w:val="22"/>
              </w:rPr>
              <w:t xml:space="preserve"> total)</w:t>
            </w:r>
          </w:p>
        </w:tc>
      </w:tr>
      <w:tr w:rsidR="00127B20" w:rsidRPr="005A2377" w14:paraId="13BD13C4" w14:textId="77777777" w:rsidTr="008028BB">
        <w:trPr>
          <w:cantSplit/>
        </w:trPr>
        <w:tc>
          <w:tcPr>
            <w:tcW w:w="1938" w:type="dxa"/>
            <w:tcMar>
              <w:top w:w="57" w:type="dxa"/>
              <w:left w:w="57" w:type="dxa"/>
              <w:bottom w:w="57" w:type="dxa"/>
              <w:right w:w="57" w:type="dxa"/>
            </w:tcMar>
          </w:tcPr>
          <w:p w14:paraId="70A5130A" w14:textId="61005C90" w:rsidR="00127B20" w:rsidRPr="005A2377" w:rsidRDefault="007B61F3" w:rsidP="005A2377">
            <w:pPr>
              <w:rPr>
                <w:b/>
                <w:sz w:val="22"/>
              </w:rPr>
            </w:pPr>
            <w:r>
              <w:rPr>
                <w:b/>
                <w:sz w:val="22"/>
              </w:rPr>
              <w:t>Unit d</w:t>
            </w:r>
            <w:r w:rsidR="00127B20" w:rsidRPr="005A2377">
              <w:rPr>
                <w:b/>
                <w:sz w:val="22"/>
              </w:rPr>
              <w:t>escription</w:t>
            </w:r>
          </w:p>
        </w:tc>
        <w:tc>
          <w:tcPr>
            <w:tcW w:w="13462" w:type="dxa"/>
            <w:gridSpan w:val="3"/>
            <w:tcMar>
              <w:top w:w="57" w:type="dxa"/>
              <w:left w:w="57" w:type="dxa"/>
              <w:bottom w:w="57" w:type="dxa"/>
              <w:right w:w="57" w:type="dxa"/>
            </w:tcMar>
          </w:tcPr>
          <w:p w14:paraId="4115A885" w14:textId="77777777" w:rsidR="00127B20" w:rsidRDefault="00185173" w:rsidP="008028BB">
            <w:pPr>
              <w:rPr>
                <w:rFonts w:cs="Arial"/>
                <w:sz w:val="22"/>
              </w:rPr>
            </w:pPr>
            <w:r>
              <w:rPr>
                <w:rFonts w:cs="Arial"/>
                <w:sz w:val="22"/>
              </w:rPr>
              <w:t>Students investigate changing interpretations of the Partition of India.</w:t>
            </w:r>
          </w:p>
          <w:p w14:paraId="07D86591" w14:textId="3C239120" w:rsidR="00020590" w:rsidRPr="007B61F3" w:rsidRDefault="00020590" w:rsidP="008028BB">
            <w:pPr>
              <w:rPr>
                <w:rFonts w:cs="Arial"/>
                <w:sz w:val="22"/>
              </w:rPr>
            </w:pPr>
            <w:r>
              <w:rPr>
                <w:rFonts w:cs="Arial"/>
                <w:sz w:val="22"/>
              </w:rPr>
              <w:t>This unit illustrates one of the three debates that students are required to study.</w:t>
            </w:r>
          </w:p>
        </w:tc>
      </w:tr>
      <w:tr w:rsidR="00AF0594" w:rsidRPr="005A2377" w14:paraId="050AB08C" w14:textId="77777777" w:rsidTr="008028BB">
        <w:trPr>
          <w:cantSplit/>
        </w:trPr>
        <w:tc>
          <w:tcPr>
            <w:tcW w:w="15400" w:type="dxa"/>
            <w:gridSpan w:val="4"/>
            <w:tcMar>
              <w:top w:w="57" w:type="dxa"/>
              <w:left w:w="57" w:type="dxa"/>
              <w:bottom w:w="57" w:type="dxa"/>
              <w:right w:w="57" w:type="dxa"/>
            </w:tcMar>
          </w:tcPr>
          <w:p w14:paraId="57AC007F" w14:textId="77777777" w:rsidR="00AF0594" w:rsidRDefault="00AF0594" w:rsidP="005A2377">
            <w:pPr>
              <w:rPr>
                <w:b/>
                <w:sz w:val="22"/>
              </w:rPr>
            </w:pPr>
            <w:r w:rsidRPr="005A2377">
              <w:rPr>
                <w:b/>
                <w:sz w:val="22"/>
              </w:rPr>
              <w:t>Outcomes</w:t>
            </w:r>
          </w:p>
          <w:p w14:paraId="5BDDB0A2" w14:textId="62CE1688" w:rsidR="00AC31E1" w:rsidRPr="00AC31E1" w:rsidRDefault="00AC31E1" w:rsidP="005A2377">
            <w:pPr>
              <w:rPr>
                <w:sz w:val="22"/>
              </w:rPr>
            </w:pPr>
            <w:r w:rsidRPr="00AC31E1">
              <w:rPr>
                <w:sz w:val="22"/>
              </w:rPr>
              <w:t>A student:</w:t>
            </w:r>
          </w:p>
          <w:p w14:paraId="19703690" w14:textId="77777777" w:rsidR="00F05254" w:rsidRPr="00045CB2" w:rsidRDefault="00F05254" w:rsidP="00F05254">
            <w:pPr>
              <w:rPr>
                <w:rFonts w:cs="Arial"/>
                <w:sz w:val="22"/>
              </w:rPr>
            </w:pPr>
            <w:r w:rsidRPr="00045CB2">
              <w:rPr>
                <w:rFonts w:cs="Arial"/>
                <w:b/>
                <w:sz w:val="22"/>
              </w:rPr>
              <w:t>HE12-1</w:t>
            </w:r>
            <w:r w:rsidRPr="00045CB2">
              <w:rPr>
                <w:rFonts w:cs="Arial"/>
                <w:sz w:val="22"/>
              </w:rPr>
              <w:t xml:space="preserve"> </w:t>
            </w:r>
            <w:r w:rsidRPr="00045CB2">
              <w:rPr>
                <w:sz w:val="22"/>
              </w:rPr>
              <w:t>analyses and evaluates different approaches to history and the complexity of factors that shape historical interpretations</w:t>
            </w:r>
          </w:p>
          <w:p w14:paraId="2A910BFE" w14:textId="77777777" w:rsidR="00F05254" w:rsidRPr="00045CB2" w:rsidRDefault="00F05254" w:rsidP="00F05254">
            <w:pPr>
              <w:rPr>
                <w:rFonts w:cs="Arial"/>
                <w:sz w:val="22"/>
              </w:rPr>
            </w:pPr>
            <w:r w:rsidRPr="00045CB2">
              <w:rPr>
                <w:rFonts w:cs="Arial"/>
                <w:b/>
                <w:sz w:val="22"/>
              </w:rPr>
              <w:t>HE12-3</w:t>
            </w:r>
            <w:r w:rsidRPr="00045CB2">
              <w:rPr>
                <w:rFonts w:cs="Arial"/>
                <w:sz w:val="22"/>
              </w:rPr>
              <w:t xml:space="preserve"> </w:t>
            </w:r>
            <w:r w:rsidRPr="00045CB2">
              <w:rPr>
                <w:sz w:val="22"/>
              </w:rPr>
              <w:t>communicates through detailed, well-structured texts to explain, argue, discuss, analyse and evaluate historical issues</w:t>
            </w:r>
          </w:p>
          <w:p w14:paraId="7C9BEE1C" w14:textId="3F72900C" w:rsidR="000073E2" w:rsidRPr="005A2377" w:rsidRDefault="00F05254" w:rsidP="005A2377">
            <w:pPr>
              <w:rPr>
                <w:rFonts w:cs="Arial"/>
                <w:sz w:val="22"/>
              </w:rPr>
            </w:pPr>
            <w:r w:rsidRPr="00045CB2">
              <w:rPr>
                <w:rFonts w:cs="Arial"/>
                <w:b/>
                <w:sz w:val="22"/>
              </w:rPr>
              <w:t>HE12-4</w:t>
            </w:r>
            <w:r w:rsidRPr="00045CB2">
              <w:rPr>
                <w:rFonts w:cs="Arial"/>
                <w:sz w:val="22"/>
              </w:rPr>
              <w:t xml:space="preserve"> </w:t>
            </w:r>
            <w:r w:rsidRPr="00045CB2">
              <w:rPr>
                <w:sz w:val="22"/>
              </w:rPr>
              <w:t>constructs an historical position about an area of historical inquiry, and discusses and challenges other positions</w:t>
            </w:r>
          </w:p>
        </w:tc>
      </w:tr>
      <w:tr w:rsidR="000073E2" w:rsidRPr="005A2377" w14:paraId="5FCFA79F" w14:textId="77777777" w:rsidTr="008028BB">
        <w:trPr>
          <w:cantSplit/>
        </w:trPr>
        <w:tc>
          <w:tcPr>
            <w:tcW w:w="15400" w:type="dxa"/>
            <w:gridSpan w:val="4"/>
            <w:tcMar>
              <w:top w:w="57" w:type="dxa"/>
              <w:left w:w="57" w:type="dxa"/>
              <w:bottom w:w="57" w:type="dxa"/>
              <w:right w:w="57" w:type="dxa"/>
            </w:tcMar>
          </w:tcPr>
          <w:p w14:paraId="3A256ECB" w14:textId="7A3C688F" w:rsidR="000073E2" w:rsidRPr="005A2377" w:rsidRDefault="000073E2" w:rsidP="000073E2">
            <w:pPr>
              <w:rPr>
                <w:b/>
                <w:sz w:val="22"/>
              </w:rPr>
            </w:pPr>
            <w:r>
              <w:rPr>
                <w:b/>
                <w:sz w:val="22"/>
              </w:rPr>
              <w:t>Resources</w:t>
            </w:r>
          </w:p>
          <w:p w14:paraId="72B75280" w14:textId="77777777" w:rsidR="009810EB" w:rsidRDefault="008028BB" w:rsidP="009810EB">
            <w:pPr>
              <w:numPr>
                <w:ilvl w:val="0"/>
                <w:numId w:val="12"/>
              </w:numPr>
              <w:ind w:left="360" w:hanging="360"/>
              <w:rPr>
                <w:sz w:val="22"/>
              </w:rPr>
            </w:pPr>
            <w:r w:rsidRPr="009810EB">
              <w:rPr>
                <w:sz w:val="22"/>
              </w:rPr>
              <w:t>Talbot</w:t>
            </w:r>
            <w:r w:rsidR="00AC31E1" w:rsidRPr="009810EB">
              <w:rPr>
                <w:sz w:val="22"/>
              </w:rPr>
              <w:t>, I</w:t>
            </w:r>
            <w:r w:rsidRPr="009810EB">
              <w:rPr>
                <w:sz w:val="22"/>
              </w:rPr>
              <w:t xml:space="preserve"> and Singh,</w:t>
            </w:r>
            <w:r w:rsidR="00AC31E1" w:rsidRPr="009810EB">
              <w:rPr>
                <w:sz w:val="22"/>
              </w:rPr>
              <w:t xml:space="preserve"> G 2009,</w:t>
            </w:r>
            <w:r w:rsidRPr="009810EB">
              <w:rPr>
                <w:sz w:val="22"/>
              </w:rPr>
              <w:t xml:space="preserve"> </w:t>
            </w:r>
            <w:proofErr w:type="gramStart"/>
            <w:r w:rsidRPr="009810EB">
              <w:rPr>
                <w:i/>
                <w:sz w:val="22"/>
              </w:rPr>
              <w:t>The</w:t>
            </w:r>
            <w:proofErr w:type="gramEnd"/>
            <w:r w:rsidRPr="009810EB">
              <w:rPr>
                <w:i/>
                <w:sz w:val="22"/>
              </w:rPr>
              <w:t xml:space="preserve"> Partition of India,</w:t>
            </w:r>
            <w:r w:rsidRPr="009810EB">
              <w:rPr>
                <w:sz w:val="22"/>
              </w:rPr>
              <w:t xml:space="preserve"> Cambridge University Press, New York</w:t>
            </w:r>
            <w:r w:rsidR="00AC31E1" w:rsidRPr="009810EB">
              <w:rPr>
                <w:sz w:val="22"/>
              </w:rPr>
              <w:t>.</w:t>
            </w:r>
          </w:p>
          <w:p w14:paraId="61A10745" w14:textId="77777777" w:rsidR="009810EB" w:rsidRDefault="008028BB" w:rsidP="009810EB">
            <w:pPr>
              <w:numPr>
                <w:ilvl w:val="0"/>
                <w:numId w:val="12"/>
              </w:numPr>
              <w:ind w:left="360" w:hanging="360"/>
              <w:rPr>
                <w:sz w:val="22"/>
              </w:rPr>
            </w:pPr>
            <w:r w:rsidRPr="009810EB">
              <w:rPr>
                <w:rFonts w:cs="Arial"/>
                <w:bCs/>
                <w:color w:val="000000"/>
                <w:sz w:val="22"/>
              </w:rPr>
              <w:t>Pandey</w:t>
            </w:r>
            <w:r w:rsidR="00AC31E1" w:rsidRPr="009810EB">
              <w:rPr>
                <w:rFonts w:cs="Arial"/>
                <w:bCs/>
                <w:color w:val="000000"/>
                <w:sz w:val="22"/>
              </w:rPr>
              <w:t>, BM 2003</w:t>
            </w:r>
            <w:r w:rsidRPr="009810EB">
              <w:rPr>
                <w:rFonts w:cs="Arial"/>
                <w:bCs/>
                <w:color w:val="000000"/>
                <w:sz w:val="22"/>
              </w:rPr>
              <w:t xml:space="preserve">, </w:t>
            </w:r>
            <w:r w:rsidRPr="009810EB">
              <w:rPr>
                <w:rFonts w:cs="Arial"/>
                <w:bCs/>
                <w:i/>
                <w:iCs/>
                <w:color w:val="000000"/>
                <w:sz w:val="22"/>
              </w:rPr>
              <w:t>Historiography of India’s Partition: Analysis of Imperialist Writings</w:t>
            </w:r>
            <w:r w:rsidRPr="009810EB">
              <w:rPr>
                <w:rFonts w:cs="Arial"/>
                <w:bCs/>
                <w:color w:val="000000"/>
                <w:sz w:val="22"/>
              </w:rPr>
              <w:t>, Atlantic Publishers and Distributors, New Delhi</w:t>
            </w:r>
            <w:r w:rsidR="00AC31E1" w:rsidRPr="009810EB">
              <w:rPr>
                <w:rFonts w:cs="Arial"/>
                <w:bCs/>
                <w:color w:val="000000"/>
                <w:sz w:val="22"/>
              </w:rPr>
              <w:t>.</w:t>
            </w:r>
          </w:p>
          <w:p w14:paraId="1E90E2DA" w14:textId="2EC80175" w:rsidR="009810EB" w:rsidRDefault="008028BB" w:rsidP="009810EB">
            <w:pPr>
              <w:numPr>
                <w:ilvl w:val="0"/>
                <w:numId w:val="12"/>
              </w:numPr>
              <w:ind w:left="360" w:hanging="360"/>
              <w:rPr>
                <w:sz w:val="22"/>
              </w:rPr>
            </w:pPr>
            <w:r w:rsidRPr="009810EB">
              <w:rPr>
                <w:rFonts w:cs="Arial"/>
                <w:sz w:val="22"/>
              </w:rPr>
              <w:t>Anderson,</w:t>
            </w:r>
            <w:r w:rsidR="00AC31E1" w:rsidRPr="009810EB">
              <w:rPr>
                <w:rFonts w:cs="Arial"/>
                <w:sz w:val="22"/>
              </w:rPr>
              <w:t xml:space="preserve"> P 2015,</w:t>
            </w:r>
            <w:r w:rsidRPr="009810EB">
              <w:rPr>
                <w:rFonts w:cs="Arial"/>
                <w:sz w:val="22"/>
              </w:rPr>
              <w:t xml:space="preserve"> </w:t>
            </w:r>
            <w:proofErr w:type="gramStart"/>
            <w:r w:rsidRPr="009810EB">
              <w:rPr>
                <w:rFonts w:cs="Arial"/>
                <w:i/>
                <w:sz w:val="22"/>
              </w:rPr>
              <w:t>The</w:t>
            </w:r>
            <w:proofErr w:type="gramEnd"/>
            <w:r w:rsidRPr="009810EB">
              <w:rPr>
                <w:rFonts w:cs="Arial"/>
                <w:i/>
                <w:sz w:val="22"/>
              </w:rPr>
              <w:t xml:space="preserve"> Indian Ideology</w:t>
            </w:r>
            <w:r w:rsidRPr="009810EB">
              <w:rPr>
                <w:rFonts w:cs="Arial"/>
                <w:sz w:val="22"/>
              </w:rPr>
              <w:t>, Verso</w:t>
            </w:r>
            <w:r w:rsidR="00775C80">
              <w:rPr>
                <w:rFonts w:cs="Arial"/>
                <w:sz w:val="22"/>
              </w:rPr>
              <w:t xml:space="preserve"> Books, London</w:t>
            </w:r>
            <w:r w:rsidR="00AC31E1" w:rsidRPr="009810EB">
              <w:rPr>
                <w:rFonts w:cs="Arial"/>
                <w:sz w:val="22"/>
              </w:rPr>
              <w:t>.</w:t>
            </w:r>
          </w:p>
          <w:p w14:paraId="12B67570" w14:textId="77777777" w:rsidR="009810EB" w:rsidRDefault="008028BB" w:rsidP="009810EB">
            <w:pPr>
              <w:numPr>
                <w:ilvl w:val="0"/>
                <w:numId w:val="12"/>
              </w:numPr>
              <w:ind w:left="360" w:hanging="360"/>
              <w:rPr>
                <w:sz w:val="22"/>
              </w:rPr>
            </w:pPr>
            <w:proofErr w:type="spellStart"/>
            <w:r w:rsidRPr="009810EB">
              <w:rPr>
                <w:rFonts w:cs="Arial"/>
                <w:sz w:val="22"/>
              </w:rPr>
              <w:t>Wolpert</w:t>
            </w:r>
            <w:proofErr w:type="spellEnd"/>
            <w:r w:rsidRPr="009810EB">
              <w:rPr>
                <w:rFonts w:cs="Arial"/>
                <w:sz w:val="22"/>
              </w:rPr>
              <w:t>,</w:t>
            </w:r>
            <w:r w:rsidR="00AC31E1" w:rsidRPr="009810EB">
              <w:rPr>
                <w:rFonts w:cs="Arial"/>
                <w:sz w:val="22"/>
              </w:rPr>
              <w:t xml:space="preserve"> S 2006,</w:t>
            </w:r>
            <w:r w:rsidRPr="009810EB">
              <w:rPr>
                <w:rFonts w:cs="Arial"/>
                <w:sz w:val="22"/>
              </w:rPr>
              <w:t xml:space="preserve"> </w:t>
            </w:r>
            <w:r w:rsidRPr="009810EB">
              <w:rPr>
                <w:rFonts w:cs="Arial"/>
                <w:i/>
                <w:sz w:val="22"/>
              </w:rPr>
              <w:t>Shameful Flight: The Last Years of the British Empire in India</w:t>
            </w:r>
            <w:r w:rsidRPr="009810EB">
              <w:rPr>
                <w:rFonts w:cs="Arial"/>
                <w:sz w:val="22"/>
              </w:rPr>
              <w:t>, O</w:t>
            </w:r>
            <w:r w:rsidR="00AC31E1" w:rsidRPr="009810EB">
              <w:rPr>
                <w:rFonts w:cs="Arial"/>
                <w:sz w:val="22"/>
              </w:rPr>
              <w:t xml:space="preserve">xford </w:t>
            </w:r>
            <w:r w:rsidRPr="009810EB">
              <w:rPr>
                <w:rFonts w:cs="Arial"/>
                <w:sz w:val="22"/>
              </w:rPr>
              <w:t>U</w:t>
            </w:r>
            <w:r w:rsidR="00AC31E1" w:rsidRPr="009810EB">
              <w:rPr>
                <w:rFonts w:cs="Arial"/>
                <w:sz w:val="22"/>
              </w:rPr>
              <w:t xml:space="preserve">niversity </w:t>
            </w:r>
            <w:r w:rsidRPr="009810EB">
              <w:rPr>
                <w:rFonts w:cs="Arial"/>
                <w:sz w:val="22"/>
              </w:rPr>
              <w:t>P</w:t>
            </w:r>
            <w:r w:rsidR="00AC31E1" w:rsidRPr="009810EB">
              <w:rPr>
                <w:rFonts w:cs="Arial"/>
                <w:sz w:val="22"/>
              </w:rPr>
              <w:t>ress</w:t>
            </w:r>
            <w:r w:rsidRPr="009810EB">
              <w:rPr>
                <w:rFonts w:cs="Arial"/>
                <w:sz w:val="22"/>
              </w:rPr>
              <w:t>, New York</w:t>
            </w:r>
            <w:r w:rsidR="00AC31E1" w:rsidRPr="009810EB">
              <w:rPr>
                <w:rFonts w:cs="Arial"/>
                <w:sz w:val="22"/>
              </w:rPr>
              <w:t>.</w:t>
            </w:r>
          </w:p>
          <w:p w14:paraId="57A3F545" w14:textId="77777777" w:rsidR="009810EB" w:rsidRDefault="008028BB" w:rsidP="009810EB">
            <w:pPr>
              <w:numPr>
                <w:ilvl w:val="0"/>
                <w:numId w:val="12"/>
              </w:numPr>
              <w:ind w:left="360" w:hanging="360"/>
              <w:rPr>
                <w:sz w:val="22"/>
              </w:rPr>
            </w:pPr>
            <w:r w:rsidRPr="009810EB">
              <w:rPr>
                <w:rFonts w:cs="Arial"/>
                <w:sz w:val="22"/>
              </w:rPr>
              <w:t xml:space="preserve">Bahadur, </w:t>
            </w:r>
            <w:r w:rsidR="00AC31E1" w:rsidRPr="009810EB">
              <w:rPr>
                <w:rFonts w:cs="Arial"/>
                <w:sz w:val="22"/>
              </w:rPr>
              <w:t xml:space="preserve">L 1988, </w:t>
            </w:r>
            <w:r w:rsidRPr="009810EB">
              <w:rPr>
                <w:rFonts w:cs="Arial"/>
                <w:i/>
                <w:sz w:val="22"/>
              </w:rPr>
              <w:t>Struggle for Pakistan: Tragedy of the Triumph of Muslim Communalism in India, 1906 – 1947</w:t>
            </w:r>
            <w:r w:rsidRPr="009810EB">
              <w:rPr>
                <w:rFonts w:cs="Arial"/>
                <w:sz w:val="22"/>
              </w:rPr>
              <w:t>, Sterling, New Delhi</w:t>
            </w:r>
            <w:r w:rsidR="00AC31E1" w:rsidRPr="009810EB">
              <w:rPr>
                <w:rFonts w:cs="Arial"/>
                <w:sz w:val="22"/>
              </w:rPr>
              <w:t>.</w:t>
            </w:r>
          </w:p>
          <w:p w14:paraId="395A73C4" w14:textId="77777777" w:rsidR="009810EB" w:rsidRPr="00736D22" w:rsidRDefault="008028BB" w:rsidP="009810EB">
            <w:pPr>
              <w:numPr>
                <w:ilvl w:val="0"/>
                <w:numId w:val="12"/>
              </w:numPr>
              <w:ind w:left="360" w:hanging="360"/>
              <w:rPr>
                <w:sz w:val="22"/>
              </w:rPr>
            </w:pPr>
            <w:r w:rsidRPr="009810EB">
              <w:rPr>
                <w:rFonts w:cs="Arial"/>
                <w:sz w:val="22"/>
              </w:rPr>
              <w:t>Menon</w:t>
            </w:r>
            <w:r w:rsidR="00AC31E1" w:rsidRPr="009810EB">
              <w:rPr>
                <w:rFonts w:cs="Arial"/>
                <w:sz w:val="22"/>
              </w:rPr>
              <w:t>, R</w:t>
            </w:r>
            <w:r w:rsidRPr="009810EB">
              <w:rPr>
                <w:rFonts w:cs="Arial"/>
                <w:sz w:val="22"/>
              </w:rPr>
              <w:t xml:space="preserve"> and </w:t>
            </w:r>
            <w:proofErr w:type="spellStart"/>
            <w:r w:rsidRPr="009810EB">
              <w:rPr>
                <w:rFonts w:cs="Arial"/>
                <w:sz w:val="22"/>
              </w:rPr>
              <w:t>Bhasin</w:t>
            </w:r>
            <w:proofErr w:type="spellEnd"/>
            <w:r w:rsidRPr="009810EB">
              <w:rPr>
                <w:rFonts w:cs="Arial"/>
                <w:sz w:val="22"/>
              </w:rPr>
              <w:t>,</w:t>
            </w:r>
            <w:r w:rsidR="00AC31E1" w:rsidRPr="009810EB">
              <w:rPr>
                <w:rFonts w:cs="Arial"/>
                <w:sz w:val="22"/>
              </w:rPr>
              <w:t xml:space="preserve"> K 1998,</w:t>
            </w:r>
            <w:r w:rsidRPr="009810EB">
              <w:rPr>
                <w:rFonts w:cs="Arial"/>
                <w:sz w:val="22"/>
              </w:rPr>
              <w:t xml:space="preserve"> </w:t>
            </w:r>
            <w:r w:rsidRPr="009810EB">
              <w:rPr>
                <w:rFonts w:cs="Arial"/>
                <w:i/>
                <w:sz w:val="22"/>
              </w:rPr>
              <w:t>Borders and Boundaries: Women in India’s Partition</w:t>
            </w:r>
            <w:r w:rsidRPr="009810EB">
              <w:rPr>
                <w:rFonts w:cs="Arial"/>
                <w:sz w:val="22"/>
              </w:rPr>
              <w:t>, Rutgers University Press</w:t>
            </w:r>
            <w:r w:rsidR="00AC31E1" w:rsidRPr="009810EB">
              <w:rPr>
                <w:rFonts w:cs="Arial"/>
                <w:sz w:val="22"/>
              </w:rPr>
              <w:t xml:space="preserve">, </w:t>
            </w:r>
            <w:r w:rsidR="007A66BF" w:rsidRPr="009810EB">
              <w:rPr>
                <w:rFonts w:cs="Arial"/>
                <w:sz w:val="22"/>
              </w:rPr>
              <w:t>New Brunswick, N.J.</w:t>
            </w:r>
          </w:p>
          <w:p w14:paraId="27052159" w14:textId="77777777" w:rsidR="009810EB" w:rsidRDefault="00AC31E1" w:rsidP="009810EB">
            <w:pPr>
              <w:numPr>
                <w:ilvl w:val="0"/>
                <w:numId w:val="12"/>
              </w:numPr>
              <w:ind w:left="360" w:hanging="360"/>
              <w:rPr>
                <w:sz w:val="22"/>
              </w:rPr>
            </w:pPr>
            <w:r w:rsidRPr="009810EB">
              <w:rPr>
                <w:rFonts w:cs="Arial"/>
                <w:sz w:val="22"/>
              </w:rPr>
              <w:t xml:space="preserve">Documentary: </w:t>
            </w:r>
            <w:r w:rsidR="007A66BF" w:rsidRPr="009810EB">
              <w:rPr>
                <w:rFonts w:cs="Arial"/>
                <w:sz w:val="22"/>
              </w:rPr>
              <w:t xml:space="preserve">BBC, 2007. </w:t>
            </w:r>
            <w:r w:rsidRPr="009810EB">
              <w:rPr>
                <w:rFonts w:cs="Arial"/>
                <w:i/>
                <w:sz w:val="22"/>
              </w:rPr>
              <w:t>Th</w:t>
            </w:r>
            <w:r w:rsidR="008028BB" w:rsidRPr="009810EB">
              <w:rPr>
                <w:rFonts w:cs="Arial"/>
                <w:i/>
                <w:sz w:val="22"/>
              </w:rPr>
              <w:t>e Day India Burned</w:t>
            </w:r>
            <w:r w:rsidRPr="009810EB">
              <w:rPr>
                <w:rFonts w:cs="Arial"/>
                <w:i/>
                <w:sz w:val="22"/>
              </w:rPr>
              <w:t>.</w:t>
            </w:r>
          </w:p>
          <w:p w14:paraId="4AD15B69" w14:textId="77777777" w:rsidR="009810EB" w:rsidRPr="00736D22" w:rsidRDefault="00AC31E1" w:rsidP="009810EB">
            <w:pPr>
              <w:numPr>
                <w:ilvl w:val="0"/>
                <w:numId w:val="12"/>
              </w:numPr>
              <w:ind w:left="360" w:hanging="360"/>
              <w:rPr>
                <w:sz w:val="22"/>
              </w:rPr>
            </w:pPr>
            <w:r w:rsidRPr="009810EB">
              <w:rPr>
                <w:rFonts w:cs="Arial"/>
                <w:bCs/>
                <w:color w:val="000000"/>
                <w:sz w:val="22"/>
              </w:rPr>
              <w:t>Film:</w:t>
            </w:r>
            <w:r w:rsidRPr="009810EB">
              <w:rPr>
                <w:rFonts w:cs="Arial"/>
                <w:bCs/>
                <w:i/>
                <w:color w:val="000000"/>
                <w:sz w:val="22"/>
              </w:rPr>
              <w:t xml:space="preserve"> </w:t>
            </w:r>
            <w:r w:rsidR="008028BB" w:rsidRPr="009810EB">
              <w:rPr>
                <w:rFonts w:cs="Arial"/>
                <w:bCs/>
                <w:i/>
                <w:color w:val="000000"/>
                <w:sz w:val="22"/>
              </w:rPr>
              <w:t>Partition</w:t>
            </w:r>
            <w:r w:rsidR="008028BB" w:rsidRPr="009810EB">
              <w:rPr>
                <w:rFonts w:cs="Arial"/>
                <w:bCs/>
                <w:color w:val="000000"/>
                <w:sz w:val="22"/>
              </w:rPr>
              <w:t>, 2007</w:t>
            </w:r>
            <w:r w:rsidRPr="009810EB">
              <w:rPr>
                <w:rFonts w:cs="Arial"/>
                <w:bCs/>
                <w:color w:val="000000"/>
                <w:sz w:val="22"/>
              </w:rPr>
              <w:t>.</w:t>
            </w:r>
          </w:p>
          <w:p w14:paraId="6A31746E" w14:textId="72CAD994" w:rsidR="00893A12" w:rsidRPr="009810EB" w:rsidRDefault="007A66BF" w:rsidP="009810EB">
            <w:pPr>
              <w:numPr>
                <w:ilvl w:val="0"/>
                <w:numId w:val="12"/>
              </w:numPr>
              <w:ind w:left="360" w:hanging="360"/>
              <w:rPr>
                <w:sz w:val="22"/>
              </w:rPr>
            </w:pPr>
            <w:r w:rsidRPr="009810EB">
              <w:rPr>
                <w:rFonts w:cs="Arial"/>
                <w:sz w:val="22"/>
              </w:rPr>
              <w:t xml:space="preserve">Bates, C 2011, </w:t>
            </w:r>
            <w:r w:rsidRPr="00736D22">
              <w:rPr>
                <w:rFonts w:cs="Arial"/>
                <w:i/>
                <w:sz w:val="22"/>
              </w:rPr>
              <w:t>The Hidden Story of Partition and its Legacies,</w:t>
            </w:r>
            <w:r w:rsidRPr="009810EB">
              <w:rPr>
                <w:rFonts w:cs="Arial"/>
                <w:sz w:val="22"/>
              </w:rPr>
              <w:t xml:space="preserve"> accessed 28/03/2017, at </w:t>
            </w:r>
            <w:hyperlink r:id="rId9" w:history="1">
              <w:r w:rsidR="00893A12" w:rsidRPr="009810EB">
                <w:rPr>
                  <w:rStyle w:val="Hyperlink"/>
                  <w:rFonts w:cs="Arial"/>
                  <w:sz w:val="22"/>
                </w:rPr>
                <w:t>http://www.bbc.co.uk/history/british/modern/partition1947_01.shtml</w:t>
              </w:r>
            </w:hyperlink>
          </w:p>
          <w:p w14:paraId="04482C14" w14:textId="4C6D8B37" w:rsidR="008028BB" w:rsidRPr="00736D22" w:rsidRDefault="00736D22" w:rsidP="00736D22">
            <w:pPr>
              <w:numPr>
                <w:ilvl w:val="0"/>
                <w:numId w:val="12"/>
              </w:numPr>
              <w:ind w:left="360" w:hanging="360"/>
              <w:rPr>
                <w:sz w:val="22"/>
              </w:rPr>
            </w:pPr>
            <w:r w:rsidRPr="00736D22">
              <w:rPr>
                <w:rFonts w:cs="Arial"/>
                <w:sz w:val="22"/>
              </w:rPr>
              <w:t>The Arts and Cultural Heritage Trust,</w:t>
            </w:r>
            <w:r>
              <w:rPr>
                <w:rFonts w:cs="Arial"/>
                <w:i/>
                <w:sz w:val="22"/>
              </w:rPr>
              <w:t xml:space="preserve"> </w:t>
            </w:r>
            <w:proofErr w:type="spellStart"/>
            <w:r>
              <w:rPr>
                <w:rFonts w:cs="Arial"/>
                <w:i/>
                <w:sz w:val="22"/>
              </w:rPr>
              <w:t>n.d.</w:t>
            </w:r>
            <w:proofErr w:type="spellEnd"/>
            <w:r>
              <w:rPr>
                <w:rFonts w:cs="Arial"/>
                <w:i/>
                <w:sz w:val="22"/>
              </w:rPr>
              <w:t xml:space="preserve">, </w:t>
            </w:r>
            <w:r w:rsidRPr="00736D22">
              <w:rPr>
                <w:rFonts w:cs="Arial"/>
                <w:i/>
                <w:sz w:val="22"/>
              </w:rPr>
              <w:t>The Partition Museum Project</w:t>
            </w:r>
            <w:r>
              <w:rPr>
                <w:rFonts w:cs="Arial"/>
                <w:sz w:val="22"/>
              </w:rPr>
              <w:t>, accessed 28/03/2017 at</w:t>
            </w:r>
            <w:r w:rsidRPr="009810EB">
              <w:rPr>
                <w:rFonts w:cs="Arial"/>
                <w:sz w:val="22"/>
              </w:rPr>
              <w:t xml:space="preserve"> </w:t>
            </w:r>
            <w:hyperlink r:id="rId10" w:history="1">
              <w:r w:rsidRPr="009810EB">
                <w:rPr>
                  <w:rStyle w:val="Hyperlink"/>
                  <w:rFonts w:cs="Arial"/>
                  <w:sz w:val="22"/>
                </w:rPr>
                <w:t>http://www.partitionmuseum.org/</w:t>
              </w:r>
            </w:hyperlink>
          </w:p>
        </w:tc>
      </w:tr>
      <w:tr w:rsidR="008028BB" w:rsidRPr="005A2377" w14:paraId="00AAD2B0" w14:textId="77777777" w:rsidTr="008028BB">
        <w:trPr>
          <w:cantSplit/>
          <w:trHeight w:val="794"/>
        </w:trPr>
        <w:tc>
          <w:tcPr>
            <w:tcW w:w="11057" w:type="dxa"/>
            <w:gridSpan w:val="2"/>
            <w:tcMar>
              <w:top w:w="57" w:type="dxa"/>
              <w:left w:w="57" w:type="dxa"/>
              <w:bottom w:w="57" w:type="dxa"/>
              <w:right w:w="57" w:type="dxa"/>
            </w:tcMar>
          </w:tcPr>
          <w:p w14:paraId="06238E74" w14:textId="0A7D8637" w:rsidR="00B95217" w:rsidRDefault="00020590" w:rsidP="005A2377">
            <w:pPr>
              <w:rPr>
                <w:b/>
                <w:sz w:val="22"/>
              </w:rPr>
            </w:pPr>
            <w:r>
              <w:rPr>
                <w:b/>
                <w:sz w:val="22"/>
              </w:rPr>
              <w:t>Questions for class discussion</w:t>
            </w:r>
          </w:p>
          <w:p w14:paraId="3A214484" w14:textId="524D558F" w:rsidR="001411D8" w:rsidRPr="001411D8" w:rsidRDefault="001411D8" w:rsidP="005A2377">
            <w:pPr>
              <w:rPr>
                <w:sz w:val="22"/>
              </w:rPr>
            </w:pPr>
            <w:r w:rsidRPr="001411D8">
              <w:rPr>
                <w:sz w:val="22"/>
              </w:rPr>
              <w:t>These questions provide a context for the entire case study:</w:t>
            </w:r>
          </w:p>
          <w:p w14:paraId="4375D271" w14:textId="082D0A57" w:rsidR="000073E2" w:rsidRPr="009810EB" w:rsidRDefault="00ED4286" w:rsidP="009810EB">
            <w:pPr>
              <w:numPr>
                <w:ilvl w:val="0"/>
                <w:numId w:val="12"/>
              </w:numPr>
              <w:ind w:left="360" w:hanging="360"/>
              <w:rPr>
                <w:sz w:val="22"/>
              </w:rPr>
            </w:pPr>
            <w:r w:rsidRPr="009810EB">
              <w:rPr>
                <w:sz w:val="22"/>
              </w:rPr>
              <w:t xml:space="preserve">What </w:t>
            </w:r>
            <w:r w:rsidR="008028BB" w:rsidRPr="009810EB">
              <w:rPr>
                <w:sz w:val="22"/>
              </w:rPr>
              <w:t>were the key events in the Partition of India (including causes, course and consequences of the event)?</w:t>
            </w:r>
          </w:p>
          <w:p w14:paraId="009BB942" w14:textId="77777777" w:rsidR="008028BB" w:rsidRPr="009810EB" w:rsidRDefault="008028BB" w:rsidP="009810EB">
            <w:pPr>
              <w:numPr>
                <w:ilvl w:val="0"/>
                <w:numId w:val="12"/>
              </w:numPr>
              <w:ind w:left="360" w:hanging="360"/>
              <w:rPr>
                <w:sz w:val="22"/>
              </w:rPr>
            </w:pPr>
            <w:r w:rsidRPr="009810EB">
              <w:rPr>
                <w:sz w:val="22"/>
              </w:rPr>
              <w:t>What are some of the major schools of historiography addressing the Partition of India?</w:t>
            </w:r>
          </w:p>
          <w:p w14:paraId="43154CA7" w14:textId="564093FC" w:rsidR="008028BB" w:rsidRPr="009810EB" w:rsidRDefault="008028BB" w:rsidP="009810EB">
            <w:pPr>
              <w:numPr>
                <w:ilvl w:val="0"/>
                <w:numId w:val="12"/>
              </w:numPr>
              <w:ind w:left="360" w:hanging="360"/>
              <w:rPr>
                <w:sz w:val="22"/>
              </w:rPr>
            </w:pPr>
            <w:r w:rsidRPr="009810EB">
              <w:rPr>
                <w:sz w:val="22"/>
              </w:rPr>
              <w:t xml:space="preserve">How has imperialism, nationalism and post-colonialism </w:t>
            </w:r>
            <w:r w:rsidR="00AC31E1" w:rsidRPr="009810EB">
              <w:rPr>
                <w:sz w:val="22"/>
              </w:rPr>
              <w:t>had an impact on</w:t>
            </w:r>
            <w:r w:rsidRPr="009810EB">
              <w:rPr>
                <w:sz w:val="22"/>
              </w:rPr>
              <w:t xml:space="preserve"> the historiography of the Partition of India?</w:t>
            </w:r>
          </w:p>
          <w:p w14:paraId="42F26F31" w14:textId="77777777" w:rsidR="008028BB" w:rsidRPr="009810EB" w:rsidRDefault="008028BB" w:rsidP="009810EB">
            <w:pPr>
              <w:numPr>
                <w:ilvl w:val="0"/>
                <w:numId w:val="12"/>
              </w:numPr>
              <w:ind w:left="360" w:hanging="360"/>
              <w:rPr>
                <w:sz w:val="22"/>
              </w:rPr>
            </w:pPr>
            <w:r w:rsidRPr="009810EB">
              <w:rPr>
                <w:sz w:val="22"/>
              </w:rPr>
              <w:t>What have been the most important factors underpinning the ongoing debates about the Partition of India?</w:t>
            </w:r>
          </w:p>
          <w:p w14:paraId="69A07E7E" w14:textId="77777777" w:rsidR="008028BB" w:rsidRPr="009810EB" w:rsidRDefault="008028BB" w:rsidP="009810EB">
            <w:pPr>
              <w:numPr>
                <w:ilvl w:val="0"/>
                <w:numId w:val="12"/>
              </w:numPr>
              <w:ind w:left="360" w:hanging="360"/>
              <w:rPr>
                <w:sz w:val="22"/>
              </w:rPr>
            </w:pPr>
            <w:r w:rsidRPr="009810EB">
              <w:rPr>
                <w:sz w:val="22"/>
              </w:rPr>
              <w:t>How have other ideologies such as Marxism and feminism contributed to the debate about the Partition of India?</w:t>
            </w:r>
          </w:p>
          <w:p w14:paraId="1D1CB655" w14:textId="44E1C747" w:rsidR="00F93CA4" w:rsidRPr="00AC31E1" w:rsidRDefault="008028BB" w:rsidP="009810EB">
            <w:pPr>
              <w:numPr>
                <w:ilvl w:val="0"/>
                <w:numId w:val="12"/>
              </w:numPr>
              <w:ind w:left="360" w:hanging="360"/>
              <w:rPr>
                <w:rFonts w:cs="Arial"/>
                <w:sz w:val="22"/>
              </w:rPr>
            </w:pPr>
            <w:r w:rsidRPr="009810EB">
              <w:rPr>
                <w:sz w:val="22"/>
              </w:rPr>
              <w:t xml:space="preserve">How has the digital revolution </w:t>
            </w:r>
            <w:r w:rsidR="00AC31E1" w:rsidRPr="009810EB">
              <w:rPr>
                <w:sz w:val="22"/>
              </w:rPr>
              <w:t>had an impact on</w:t>
            </w:r>
            <w:r w:rsidRPr="009810EB">
              <w:rPr>
                <w:sz w:val="22"/>
              </w:rPr>
              <w:t xml:space="preserve"> the construction of histories relating to the Partition of India?</w:t>
            </w:r>
          </w:p>
        </w:tc>
        <w:tc>
          <w:tcPr>
            <w:tcW w:w="4343" w:type="dxa"/>
            <w:gridSpan w:val="2"/>
            <w:tcMar>
              <w:top w:w="57" w:type="dxa"/>
              <w:left w:w="57" w:type="dxa"/>
              <w:bottom w:w="57" w:type="dxa"/>
              <w:right w:w="57" w:type="dxa"/>
            </w:tcMar>
          </w:tcPr>
          <w:p w14:paraId="718BAB93" w14:textId="61B50C72" w:rsidR="00B95217" w:rsidRPr="005A2377" w:rsidRDefault="00AF0594" w:rsidP="005A2377">
            <w:pPr>
              <w:rPr>
                <w:b/>
                <w:sz w:val="22"/>
              </w:rPr>
            </w:pPr>
            <w:r w:rsidRPr="005A2377">
              <w:rPr>
                <w:b/>
                <w:sz w:val="22"/>
              </w:rPr>
              <w:t>Formal assessment</w:t>
            </w:r>
          </w:p>
          <w:p w14:paraId="1642184C" w14:textId="480EEC33" w:rsidR="000073E2" w:rsidRPr="000073E2" w:rsidRDefault="00F93CA4" w:rsidP="001411D8">
            <w:pPr>
              <w:rPr>
                <w:rFonts w:cs="Arial"/>
                <w:sz w:val="22"/>
              </w:rPr>
            </w:pPr>
            <w:r>
              <w:rPr>
                <w:rFonts w:cs="Arial"/>
                <w:sz w:val="22"/>
              </w:rPr>
              <w:t>At the end of this unit</w:t>
            </w:r>
            <w:r w:rsidR="00AC31E1">
              <w:rPr>
                <w:rFonts w:cs="Arial"/>
                <w:sz w:val="22"/>
              </w:rPr>
              <w:t>,</w:t>
            </w:r>
            <w:r>
              <w:rPr>
                <w:rFonts w:cs="Arial"/>
                <w:sz w:val="22"/>
              </w:rPr>
              <w:t xml:space="preserve"> students will receive an assessment task requiring them to use their classwork and some independent preparation to construct an in-class essay providing a thorough analysis of FOUR different historians/s</w:t>
            </w:r>
            <w:r w:rsidR="001411D8">
              <w:rPr>
                <w:rFonts w:cs="Arial"/>
                <w:sz w:val="22"/>
              </w:rPr>
              <w:t>ources relevant to this debate.</w:t>
            </w:r>
          </w:p>
        </w:tc>
      </w:tr>
    </w:tbl>
    <w:p w14:paraId="5D27D983" w14:textId="77777777" w:rsidR="00AC31E1" w:rsidRDefault="00AC31E1">
      <w:r>
        <w:br w:type="page"/>
      </w:r>
    </w:p>
    <w:tbl>
      <w:tblPr>
        <w:tblStyle w:val="TableGrid"/>
        <w:tblW w:w="15400" w:type="dxa"/>
        <w:tblInd w:w="57"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4431"/>
        <w:gridCol w:w="7461"/>
        <w:gridCol w:w="3508"/>
      </w:tblGrid>
      <w:tr w:rsidR="0088436D" w:rsidRPr="00445E1F" w14:paraId="74EADE18" w14:textId="77777777" w:rsidTr="00F05254">
        <w:trPr>
          <w:cantSplit/>
          <w:tblHeader/>
        </w:trPr>
        <w:tc>
          <w:tcPr>
            <w:tcW w:w="4431" w:type="dxa"/>
            <w:tcMar>
              <w:top w:w="57" w:type="dxa"/>
              <w:left w:w="57" w:type="dxa"/>
              <w:bottom w:w="57" w:type="dxa"/>
              <w:right w:w="57" w:type="dxa"/>
            </w:tcMar>
          </w:tcPr>
          <w:p w14:paraId="13723DE7" w14:textId="0F4174BB" w:rsidR="0088436D" w:rsidRPr="008028BB" w:rsidRDefault="0088436D" w:rsidP="005A2377">
            <w:pPr>
              <w:rPr>
                <w:b/>
                <w:sz w:val="22"/>
              </w:rPr>
            </w:pPr>
            <w:r w:rsidRPr="008028BB">
              <w:rPr>
                <w:b/>
                <w:sz w:val="22"/>
              </w:rPr>
              <w:lastRenderedPageBreak/>
              <w:t>Content</w:t>
            </w:r>
          </w:p>
        </w:tc>
        <w:tc>
          <w:tcPr>
            <w:tcW w:w="7461" w:type="dxa"/>
            <w:tcMar>
              <w:top w:w="57" w:type="dxa"/>
              <w:left w:w="57" w:type="dxa"/>
              <w:bottom w:w="57" w:type="dxa"/>
              <w:right w:w="57" w:type="dxa"/>
            </w:tcMar>
          </w:tcPr>
          <w:p w14:paraId="20BD8C44" w14:textId="77777777" w:rsidR="0088436D" w:rsidRPr="00C07680" w:rsidRDefault="0088436D" w:rsidP="005A2377">
            <w:pPr>
              <w:rPr>
                <w:b/>
                <w:sz w:val="22"/>
              </w:rPr>
            </w:pPr>
            <w:r w:rsidRPr="00C07680">
              <w:rPr>
                <w:b/>
                <w:sz w:val="22"/>
              </w:rPr>
              <w:t>Teaching, learning and assessment</w:t>
            </w:r>
          </w:p>
        </w:tc>
        <w:tc>
          <w:tcPr>
            <w:tcW w:w="3508" w:type="dxa"/>
            <w:tcMar>
              <w:top w:w="57" w:type="dxa"/>
              <w:left w:w="57" w:type="dxa"/>
              <w:bottom w:w="57" w:type="dxa"/>
              <w:right w:w="57" w:type="dxa"/>
            </w:tcMar>
          </w:tcPr>
          <w:p w14:paraId="22BAD785" w14:textId="38410C2C" w:rsidR="0088436D" w:rsidRPr="00C07680" w:rsidRDefault="00F05254" w:rsidP="005A2377">
            <w:pPr>
              <w:rPr>
                <w:b/>
                <w:sz w:val="22"/>
              </w:rPr>
            </w:pPr>
            <w:r>
              <w:rPr>
                <w:b/>
                <w:sz w:val="22"/>
              </w:rPr>
              <w:t>Differentiation</w:t>
            </w:r>
          </w:p>
        </w:tc>
      </w:tr>
      <w:tr w:rsidR="0088436D" w:rsidRPr="00445E1F" w14:paraId="5CEE37EE" w14:textId="514A1E66" w:rsidTr="00F54125">
        <w:trPr>
          <w:trHeight w:val="6509"/>
        </w:trPr>
        <w:tc>
          <w:tcPr>
            <w:tcW w:w="4431" w:type="dxa"/>
            <w:tcMar>
              <w:top w:w="57" w:type="dxa"/>
              <w:left w:w="57" w:type="dxa"/>
              <w:bottom w:w="57" w:type="dxa"/>
              <w:right w:w="57" w:type="dxa"/>
            </w:tcMar>
          </w:tcPr>
          <w:p w14:paraId="77D7F9ED" w14:textId="6A6D9B07" w:rsidR="00792167" w:rsidRPr="009810EB" w:rsidRDefault="00BC1A49" w:rsidP="009810EB">
            <w:pPr>
              <w:numPr>
                <w:ilvl w:val="0"/>
                <w:numId w:val="12"/>
              </w:numPr>
              <w:ind w:left="360" w:hanging="360"/>
              <w:rPr>
                <w:sz w:val="22"/>
              </w:rPr>
            </w:pPr>
            <w:r w:rsidRPr="009810EB">
              <w:rPr>
                <w:sz w:val="22"/>
              </w:rPr>
              <w:t>Students examine the historians and approaches to history (including recent historiography) that have contributed to historical debate in the areas of:</w:t>
            </w:r>
          </w:p>
          <w:p w14:paraId="1311C780" w14:textId="77777777" w:rsidR="005E0BDA" w:rsidRDefault="00201413" w:rsidP="00AC31E1">
            <w:pPr>
              <w:numPr>
                <w:ilvl w:val="1"/>
                <w:numId w:val="12"/>
              </w:numPr>
              <w:ind w:left="714" w:hanging="357"/>
              <w:contextualSpacing/>
              <w:rPr>
                <w:sz w:val="22"/>
              </w:rPr>
            </w:pPr>
            <w:r w:rsidRPr="00201413">
              <w:rPr>
                <w:sz w:val="22"/>
              </w:rPr>
              <w:t xml:space="preserve">the causes of the partition (ACHMH149, ACHMH150) </w:t>
            </w:r>
            <w:r w:rsidRPr="00201413">
              <w:rPr>
                <w:noProof/>
                <w:sz w:val="22"/>
                <w:lang w:eastAsia="en-AU"/>
              </w:rPr>
              <w:drawing>
                <wp:inline distT="114300" distB="114300" distL="114300" distR="114300" wp14:anchorId="498B4BAC" wp14:editId="7FE2F3B3">
                  <wp:extent cx="95250" cy="104775"/>
                  <wp:effectExtent l="0" t="0" r="0" b="9525"/>
                  <wp:docPr id="252" name="image26.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26.png" title="Asia and Australia’s engagement with Asia icon"/>
                          <pic:cNvPicPr preferRelativeResize="0"/>
                        </pic:nvPicPr>
                        <pic:blipFill>
                          <a:blip r:embed="rId11"/>
                          <a:srcRect/>
                          <a:stretch>
                            <a:fillRect/>
                          </a:stretch>
                        </pic:blipFill>
                        <pic:spPr>
                          <a:xfrm>
                            <a:off x="0" y="0"/>
                            <a:ext cx="95250" cy="104775"/>
                          </a:xfrm>
                          <a:prstGeom prst="rect">
                            <a:avLst/>
                          </a:prstGeom>
                          <a:ln/>
                        </pic:spPr>
                      </pic:pic>
                    </a:graphicData>
                  </a:graphic>
                </wp:inline>
              </w:drawing>
            </w:r>
            <w:r w:rsidRPr="00201413">
              <w:rPr>
                <w:sz w:val="22"/>
              </w:rPr>
              <w:t xml:space="preserve"> </w:t>
            </w:r>
            <w:r w:rsidRPr="00201413">
              <w:rPr>
                <w:noProof/>
                <w:sz w:val="22"/>
                <w:lang w:eastAsia="en-AU"/>
              </w:rPr>
              <w:drawing>
                <wp:inline distT="114300" distB="114300" distL="114300" distR="114300" wp14:anchorId="40AC21A6" wp14:editId="2693AE4E">
                  <wp:extent cx="123825" cy="104775"/>
                  <wp:effectExtent l="0" t="0" r="9525" b="9525"/>
                  <wp:docPr id="154" name="image18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83.png" title="Ethical understand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201413">
              <w:rPr>
                <w:sz w:val="22"/>
              </w:rPr>
              <w:t xml:space="preserve"> </w:t>
            </w:r>
            <w:r w:rsidRPr="00201413">
              <w:rPr>
                <w:noProof/>
                <w:sz w:val="22"/>
                <w:lang w:eastAsia="en-AU"/>
              </w:rPr>
              <w:drawing>
                <wp:inline distT="114300" distB="114300" distL="114300" distR="114300" wp14:anchorId="0A92A761" wp14:editId="372BDAD4">
                  <wp:extent cx="104775" cy="104775"/>
                  <wp:effectExtent l="0" t="0" r="9525" b="9525"/>
                  <wp:docPr id="256" name="image282.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82.png" title="Intercultural understanding icon"/>
                          <pic:cNvPicPr preferRelativeResize="0"/>
                        </pic:nvPicPr>
                        <pic:blipFill>
                          <a:blip r:embed="rId13"/>
                          <a:srcRect/>
                          <a:stretch>
                            <a:fillRect/>
                          </a:stretch>
                        </pic:blipFill>
                        <pic:spPr>
                          <a:xfrm>
                            <a:off x="0" y="0"/>
                            <a:ext cx="104775" cy="104775"/>
                          </a:xfrm>
                          <a:prstGeom prst="rect">
                            <a:avLst/>
                          </a:prstGeom>
                          <a:ln/>
                        </pic:spPr>
                      </pic:pic>
                    </a:graphicData>
                  </a:graphic>
                </wp:inline>
              </w:drawing>
            </w:r>
          </w:p>
          <w:p w14:paraId="3D55B817" w14:textId="77777777" w:rsidR="00F54125" w:rsidRDefault="00F54125" w:rsidP="00F54125">
            <w:pPr>
              <w:contextualSpacing/>
              <w:rPr>
                <w:sz w:val="22"/>
              </w:rPr>
            </w:pPr>
          </w:p>
          <w:p w14:paraId="7D8AD335" w14:textId="77777777" w:rsidR="00F54125" w:rsidRDefault="00F54125" w:rsidP="00F54125">
            <w:pPr>
              <w:contextualSpacing/>
              <w:rPr>
                <w:sz w:val="22"/>
              </w:rPr>
            </w:pPr>
          </w:p>
          <w:p w14:paraId="0E797FBB" w14:textId="77777777" w:rsidR="00F54125" w:rsidRPr="00F54125" w:rsidRDefault="00F54125" w:rsidP="00F54125">
            <w:pPr>
              <w:rPr>
                <w:sz w:val="22"/>
              </w:rPr>
            </w:pPr>
            <w:r w:rsidRPr="00F54125">
              <w:rPr>
                <w:b/>
                <w:sz w:val="22"/>
              </w:rPr>
              <w:t>Key questions</w:t>
            </w:r>
          </w:p>
          <w:p w14:paraId="6625DE35" w14:textId="77777777" w:rsidR="00F54125" w:rsidRPr="009810EB" w:rsidRDefault="00F54125" w:rsidP="009810EB">
            <w:pPr>
              <w:numPr>
                <w:ilvl w:val="0"/>
                <w:numId w:val="12"/>
              </w:numPr>
              <w:ind w:left="360" w:hanging="360"/>
              <w:rPr>
                <w:sz w:val="22"/>
              </w:rPr>
            </w:pPr>
            <w:r w:rsidRPr="009810EB">
              <w:rPr>
                <w:sz w:val="22"/>
              </w:rPr>
              <w:t>Who are historians?</w:t>
            </w:r>
          </w:p>
          <w:p w14:paraId="55CA76B6" w14:textId="77777777" w:rsidR="00F54125" w:rsidRPr="00F54125" w:rsidRDefault="00F54125" w:rsidP="00F54125">
            <w:pPr>
              <w:numPr>
                <w:ilvl w:val="1"/>
                <w:numId w:val="12"/>
              </w:numPr>
              <w:ind w:left="720" w:hanging="360"/>
              <w:rPr>
                <w:sz w:val="22"/>
              </w:rPr>
            </w:pPr>
            <w:r w:rsidRPr="00F54125">
              <w:rPr>
                <w:sz w:val="22"/>
              </w:rPr>
              <w:t xml:space="preserve">the producers of history over time – </w:t>
            </w:r>
            <w:r w:rsidRPr="00F54125">
              <w:rPr>
                <w:i/>
                <w:sz w:val="22"/>
              </w:rPr>
              <w:t>from Ancient times to the present day</w:t>
            </w:r>
          </w:p>
          <w:p w14:paraId="53390DB1" w14:textId="77777777" w:rsidR="00F54125" w:rsidRPr="00F54125" w:rsidRDefault="00F54125" w:rsidP="00F54125">
            <w:pPr>
              <w:numPr>
                <w:ilvl w:val="1"/>
                <w:numId w:val="12"/>
              </w:numPr>
              <w:ind w:left="720" w:hanging="360"/>
              <w:rPr>
                <w:sz w:val="22"/>
              </w:rPr>
            </w:pPr>
            <w:r w:rsidRPr="00F54125">
              <w:rPr>
                <w:sz w:val="22"/>
              </w:rPr>
              <w:t xml:space="preserve">the identity of historians: biographical details, personal values and beliefs, philosophy of history, approaches to the construction of history, bias </w:t>
            </w:r>
            <w:r w:rsidRPr="00F54125">
              <w:rPr>
                <w:noProof/>
                <w:sz w:val="22"/>
                <w:lang w:eastAsia="en-AU"/>
              </w:rPr>
              <w:drawing>
                <wp:inline distT="114300" distB="114300" distL="114300" distR="114300" wp14:anchorId="799FB046" wp14:editId="7E3A63F6">
                  <wp:extent cx="66675" cy="104775"/>
                  <wp:effectExtent l="0" t="0" r="9525" b="9525"/>
                  <wp:docPr id="72" name="image101.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01.png" title="Difference and diversity icon"/>
                          <pic:cNvPicPr preferRelativeResize="0"/>
                        </pic:nvPicPr>
                        <pic:blipFill>
                          <a:blip r:embed="rId14"/>
                          <a:srcRect/>
                          <a:stretch>
                            <a:fillRect/>
                          </a:stretch>
                        </pic:blipFill>
                        <pic:spPr>
                          <a:xfrm>
                            <a:off x="0" y="0"/>
                            <a:ext cx="66675" cy="104775"/>
                          </a:xfrm>
                          <a:prstGeom prst="rect">
                            <a:avLst/>
                          </a:prstGeom>
                          <a:ln/>
                        </pic:spPr>
                      </pic:pic>
                    </a:graphicData>
                  </a:graphic>
                </wp:inline>
              </w:drawing>
            </w:r>
            <w:r w:rsidRPr="00F54125">
              <w:rPr>
                <w:sz w:val="22"/>
              </w:rPr>
              <w:t xml:space="preserve"> </w:t>
            </w:r>
            <w:r w:rsidRPr="00F54125">
              <w:rPr>
                <w:noProof/>
                <w:sz w:val="22"/>
                <w:lang w:eastAsia="en-AU"/>
              </w:rPr>
              <w:drawing>
                <wp:inline distT="114300" distB="114300" distL="114300" distR="114300" wp14:anchorId="2119E235" wp14:editId="7907DF3F">
                  <wp:extent cx="104775" cy="104775"/>
                  <wp:effectExtent l="0" t="0" r="9525" b="9525"/>
                  <wp:docPr id="30" name="image59.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59.png" title="Work and enterprise"/>
                          <pic:cNvPicPr preferRelativeResize="0"/>
                        </pic:nvPicPr>
                        <pic:blipFill>
                          <a:blip r:embed="rId15"/>
                          <a:srcRect/>
                          <a:stretch>
                            <a:fillRect/>
                          </a:stretch>
                        </pic:blipFill>
                        <pic:spPr>
                          <a:xfrm>
                            <a:off x="0" y="0"/>
                            <a:ext cx="104775" cy="104775"/>
                          </a:xfrm>
                          <a:prstGeom prst="rect">
                            <a:avLst/>
                          </a:prstGeom>
                          <a:ln/>
                        </pic:spPr>
                      </pic:pic>
                    </a:graphicData>
                  </a:graphic>
                </wp:inline>
              </w:drawing>
            </w:r>
          </w:p>
          <w:p w14:paraId="530EEA4C" w14:textId="77777777" w:rsidR="00F54125" w:rsidRPr="00F54125" w:rsidRDefault="00F54125" w:rsidP="00F54125">
            <w:pPr>
              <w:pStyle w:val="ListParagraph"/>
              <w:numPr>
                <w:ilvl w:val="0"/>
                <w:numId w:val="15"/>
              </w:numPr>
              <w:rPr>
                <w:sz w:val="22"/>
              </w:rPr>
            </w:pPr>
            <w:r w:rsidRPr="00F54125">
              <w:rPr>
                <w:sz w:val="22"/>
              </w:rPr>
              <w:t xml:space="preserve">the context of historians: gender, class, ethnicity, time, place, social and economic structures/change, political constraints, official and unofficial status, academic background </w:t>
            </w:r>
            <w:r w:rsidRPr="00F54125">
              <w:rPr>
                <w:noProof/>
                <w:lang w:eastAsia="en-AU"/>
              </w:rPr>
              <w:drawing>
                <wp:inline distT="114300" distB="114300" distL="114300" distR="114300" wp14:anchorId="3E0C657A" wp14:editId="7C9DE13E">
                  <wp:extent cx="123825" cy="104775"/>
                  <wp:effectExtent l="0" t="0" r="9525" b="9525"/>
                  <wp:docPr id="250" name="image280.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80.png" title="Ethical understand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F54125">
              <w:rPr>
                <w:sz w:val="22"/>
              </w:rPr>
              <w:t xml:space="preserve"> </w:t>
            </w:r>
            <w:r w:rsidRPr="00F54125">
              <w:rPr>
                <w:noProof/>
                <w:lang w:eastAsia="en-AU"/>
              </w:rPr>
              <w:drawing>
                <wp:inline distT="114300" distB="114300" distL="114300" distR="114300" wp14:anchorId="4FD70541" wp14:editId="06F16084">
                  <wp:extent cx="66675" cy="104775"/>
                  <wp:effectExtent l="0" t="0" r="9525" b="9525"/>
                  <wp:docPr id="102" name="image131.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31.png" title="Difference and diversity icon"/>
                          <pic:cNvPicPr preferRelativeResize="0"/>
                        </pic:nvPicPr>
                        <pic:blipFill>
                          <a:blip r:embed="rId14"/>
                          <a:srcRect/>
                          <a:stretch>
                            <a:fillRect/>
                          </a:stretch>
                        </pic:blipFill>
                        <pic:spPr>
                          <a:xfrm>
                            <a:off x="0" y="0"/>
                            <a:ext cx="66675" cy="104775"/>
                          </a:xfrm>
                          <a:prstGeom prst="rect">
                            <a:avLst/>
                          </a:prstGeom>
                          <a:ln/>
                        </pic:spPr>
                      </pic:pic>
                    </a:graphicData>
                  </a:graphic>
                </wp:inline>
              </w:drawing>
            </w:r>
            <w:r w:rsidRPr="00E22834">
              <w:t xml:space="preserve"> </w:t>
            </w:r>
          </w:p>
          <w:p w14:paraId="246678DE" w14:textId="77777777" w:rsidR="00F54125" w:rsidRDefault="00F54125" w:rsidP="00F54125">
            <w:pPr>
              <w:rPr>
                <w:sz w:val="22"/>
              </w:rPr>
            </w:pPr>
          </w:p>
          <w:p w14:paraId="28AAC4E6" w14:textId="77777777" w:rsidR="00F54125" w:rsidRDefault="00F54125" w:rsidP="00F54125">
            <w:pPr>
              <w:rPr>
                <w:sz w:val="22"/>
              </w:rPr>
            </w:pPr>
          </w:p>
          <w:p w14:paraId="3A5079A1" w14:textId="77777777" w:rsidR="00F54125" w:rsidRDefault="00F54125" w:rsidP="00F54125">
            <w:pPr>
              <w:rPr>
                <w:sz w:val="22"/>
              </w:rPr>
            </w:pPr>
          </w:p>
          <w:p w14:paraId="3C56F9AB" w14:textId="77777777" w:rsidR="00F54125" w:rsidRDefault="00F54125" w:rsidP="00F54125">
            <w:pPr>
              <w:rPr>
                <w:sz w:val="22"/>
              </w:rPr>
            </w:pPr>
          </w:p>
          <w:p w14:paraId="6FB4E957" w14:textId="77777777" w:rsidR="00F54125" w:rsidRDefault="00F54125" w:rsidP="00F54125">
            <w:pPr>
              <w:rPr>
                <w:sz w:val="22"/>
              </w:rPr>
            </w:pPr>
          </w:p>
          <w:p w14:paraId="0A688EBE" w14:textId="77777777" w:rsidR="00F54125" w:rsidRDefault="00F54125" w:rsidP="00F54125">
            <w:pPr>
              <w:rPr>
                <w:sz w:val="22"/>
              </w:rPr>
            </w:pPr>
          </w:p>
          <w:p w14:paraId="6838C44C" w14:textId="77777777" w:rsidR="00F54125" w:rsidRDefault="00F54125" w:rsidP="00F54125">
            <w:pPr>
              <w:rPr>
                <w:sz w:val="22"/>
              </w:rPr>
            </w:pPr>
          </w:p>
          <w:p w14:paraId="64CF7711" w14:textId="77777777" w:rsidR="00F54125" w:rsidRDefault="00F54125" w:rsidP="00F54125">
            <w:pPr>
              <w:rPr>
                <w:sz w:val="22"/>
              </w:rPr>
            </w:pPr>
          </w:p>
          <w:p w14:paraId="0617B0C1" w14:textId="77777777" w:rsidR="00F54125" w:rsidRDefault="00F54125" w:rsidP="00F54125">
            <w:pPr>
              <w:rPr>
                <w:sz w:val="22"/>
              </w:rPr>
            </w:pPr>
          </w:p>
          <w:p w14:paraId="55E48CF7" w14:textId="77777777" w:rsidR="00F54125" w:rsidRDefault="00F54125" w:rsidP="00F54125">
            <w:pPr>
              <w:rPr>
                <w:sz w:val="22"/>
              </w:rPr>
            </w:pPr>
          </w:p>
          <w:p w14:paraId="3C00CA0E" w14:textId="77777777" w:rsidR="00F54125" w:rsidRDefault="00F54125" w:rsidP="00F54125">
            <w:pPr>
              <w:rPr>
                <w:sz w:val="22"/>
              </w:rPr>
            </w:pPr>
          </w:p>
          <w:p w14:paraId="05544B43" w14:textId="77777777" w:rsidR="00F54125" w:rsidRDefault="00F54125" w:rsidP="00F54125">
            <w:pPr>
              <w:rPr>
                <w:sz w:val="22"/>
              </w:rPr>
            </w:pPr>
          </w:p>
          <w:p w14:paraId="0DD80A75" w14:textId="77777777" w:rsidR="00F54125" w:rsidRDefault="00F54125" w:rsidP="00F54125">
            <w:pPr>
              <w:rPr>
                <w:sz w:val="22"/>
              </w:rPr>
            </w:pPr>
          </w:p>
          <w:p w14:paraId="450EA212" w14:textId="77777777" w:rsidR="00F54125" w:rsidRDefault="00F54125" w:rsidP="00F54125">
            <w:pPr>
              <w:rPr>
                <w:sz w:val="22"/>
              </w:rPr>
            </w:pPr>
          </w:p>
          <w:p w14:paraId="66EC8E3D" w14:textId="77777777" w:rsidR="00F54125" w:rsidRPr="00F54125" w:rsidRDefault="00F54125" w:rsidP="00F54125">
            <w:pPr>
              <w:numPr>
                <w:ilvl w:val="0"/>
                <w:numId w:val="12"/>
              </w:numPr>
              <w:ind w:left="360" w:hanging="360"/>
              <w:rPr>
                <w:sz w:val="22"/>
              </w:rPr>
            </w:pPr>
            <w:r w:rsidRPr="00F54125">
              <w:rPr>
                <w:sz w:val="22"/>
              </w:rPr>
              <w:lastRenderedPageBreak/>
              <w:t>What are the historical debates in the case study?</w:t>
            </w:r>
          </w:p>
          <w:p w14:paraId="1C199C05" w14:textId="77777777" w:rsidR="00F54125" w:rsidRPr="00F54125" w:rsidRDefault="00F54125" w:rsidP="00F54125">
            <w:pPr>
              <w:numPr>
                <w:ilvl w:val="1"/>
                <w:numId w:val="12"/>
              </w:numPr>
              <w:spacing w:before="120" w:after="120"/>
              <w:ind w:left="720" w:hanging="360"/>
              <w:contextualSpacing/>
              <w:rPr>
                <w:sz w:val="22"/>
              </w:rPr>
            </w:pPr>
            <w:r w:rsidRPr="00F54125">
              <w:rPr>
                <w:sz w:val="22"/>
              </w:rPr>
              <w:t xml:space="preserve">historical interpretations and perspectives (including recent historiography) of the areas of debate </w:t>
            </w:r>
            <w:r w:rsidRPr="00F54125">
              <w:rPr>
                <w:noProof/>
                <w:sz w:val="22"/>
                <w:lang w:eastAsia="en-AU"/>
              </w:rPr>
              <w:drawing>
                <wp:inline distT="114300" distB="114300" distL="114300" distR="114300" wp14:anchorId="20FC272F" wp14:editId="0477EFFF">
                  <wp:extent cx="123825" cy="104775"/>
                  <wp:effectExtent l="0" t="0" r="9525" b="9525"/>
                  <wp:docPr id="37" name="image112.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12.png" title="Ethical understand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F54125">
              <w:rPr>
                <w:sz w:val="22"/>
              </w:rPr>
              <w:t xml:space="preserve"> </w:t>
            </w:r>
            <w:r w:rsidRPr="00F54125">
              <w:rPr>
                <w:noProof/>
                <w:sz w:val="22"/>
                <w:lang w:eastAsia="en-AU"/>
              </w:rPr>
              <w:drawing>
                <wp:inline distT="114300" distB="114300" distL="114300" distR="114300" wp14:anchorId="083ECCC7" wp14:editId="6C42982D">
                  <wp:extent cx="133350" cy="104775"/>
                  <wp:effectExtent l="0" t="0" r="0" b="9525"/>
                  <wp:docPr id="38" name="image285.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85.png" title="Literacy icon"/>
                          <pic:cNvPicPr preferRelativeResize="0"/>
                        </pic:nvPicPr>
                        <pic:blipFill>
                          <a:blip r:embed="rId16"/>
                          <a:srcRect/>
                          <a:stretch>
                            <a:fillRect/>
                          </a:stretch>
                        </pic:blipFill>
                        <pic:spPr>
                          <a:xfrm>
                            <a:off x="0" y="0"/>
                            <a:ext cx="133350" cy="104775"/>
                          </a:xfrm>
                          <a:prstGeom prst="rect">
                            <a:avLst/>
                          </a:prstGeom>
                          <a:ln/>
                        </pic:spPr>
                      </pic:pic>
                    </a:graphicData>
                  </a:graphic>
                </wp:inline>
              </w:drawing>
            </w:r>
            <w:r w:rsidRPr="00F54125">
              <w:rPr>
                <w:sz w:val="22"/>
              </w:rPr>
              <w:t xml:space="preserve"> </w:t>
            </w:r>
            <w:r w:rsidRPr="00F54125">
              <w:rPr>
                <w:noProof/>
                <w:sz w:val="22"/>
                <w:lang w:eastAsia="en-AU"/>
              </w:rPr>
              <w:drawing>
                <wp:inline distT="114300" distB="114300" distL="114300" distR="114300" wp14:anchorId="51D4E4CB" wp14:editId="6F5A0F8B">
                  <wp:extent cx="66675" cy="104775"/>
                  <wp:effectExtent l="0" t="0" r="9525" b="9525"/>
                  <wp:docPr id="60" name="image325.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25.png" title="Difference and diversity icon"/>
                          <pic:cNvPicPr preferRelativeResize="0"/>
                        </pic:nvPicPr>
                        <pic:blipFill>
                          <a:blip r:embed="rId14"/>
                          <a:srcRect/>
                          <a:stretch>
                            <a:fillRect/>
                          </a:stretch>
                        </pic:blipFill>
                        <pic:spPr>
                          <a:xfrm>
                            <a:off x="0" y="0"/>
                            <a:ext cx="66675" cy="104775"/>
                          </a:xfrm>
                          <a:prstGeom prst="rect">
                            <a:avLst/>
                          </a:prstGeom>
                          <a:ln/>
                        </pic:spPr>
                      </pic:pic>
                    </a:graphicData>
                  </a:graphic>
                </wp:inline>
              </w:drawing>
            </w:r>
          </w:p>
          <w:p w14:paraId="1D8327D6" w14:textId="77777777" w:rsidR="00F54125" w:rsidRPr="00F54125" w:rsidRDefault="00F54125" w:rsidP="00F54125">
            <w:pPr>
              <w:numPr>
                <w:ilvl w:val="1"/>
                <w:numId w:val="12"/>
              </w:numPr>
              <w:spacing w:before="120" w:after="120"/>
              <w:ind w:left="720" w:hanging="360"/>
              <w:contextualSpacing/>
              <w:rPr>
                <w:sz w:val="22"/>
              </w:rPr>
            </w:pPr>
            <w:r w:rsidRPr="00F54125">
              <w:rPr>
                <w:sz w:val="22"/>
              </w:rPr>
              <w:t xml:space="preserve">popular interpretations and perspectives of the areas of debate </w:t>
            </w:r>
            <w:r w:rsidRPr="00F54125">
              <w:rPr>
                <w:noProof/>
                <w:sz w:val="22"/>
                <w:lang w:eastAsia="en-AU"/>
              </w:rPr>
              <w:drawing>
                <wp:inline distT="114300" distB="114300" distL="114300" distR="114300" wp14:anchorId="6D13327E" wp14:editId="1484F44D">
                  <wp:extent cx="133350" cy="104775"/>
                  <wp:effectExtent l="0" t="0" r="0" b="9525"/>
                  <wp:docPr id="265" name="image30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08.png" title="Literacy icon"/>
                          <pic:cNvPicPr preferRelativeResize="0"/>
                        </pic:nvPicPr>
                        <pic:blipFill>
                          <a:blip r:embed="rId16"/>
                          <a:srcRect/>
                          <a:stretch>
                            <a:fillRect/>
                          </a:stretch>
                        </pic:blipFill>
                        <pic:spPr>
                          <a:xfrm>
                            <a:off x="0" y="0"/>
                            <a:ext cx="133350" cy="104775"/>
                          </a:xfrm>
                          <a:prstGeom prst="rect">
                            <a:avLst/>
                          </a:prstGeom>
                          <a:ln/>
                        </pic:spPr>
                      </pic:pic>
                    </a:graphicData>
                  </a:graphic>
                </wp:inline>
              </w:drawing>
            </w:r>
          </w:p>
          <w:p w14:paraId="4B9C032D" w14:textId="77777777" w:rsidR="00F54125" w:rsidRPr="00F54125" w:rsidRDefault="00F54125" w:rsidP="00F54125">
            <w:pPr>
              <w:numPr>
                <w:ilvl w:val="1"/>
                <w:numId w:val="12"/>
              </w:numPr>
              <w:spacing w:before="120" w:after="120"/>
              <w:ind w:left="720" w:hanging="360"/>
              <w:contextualSpacing/>
              <w:rPr>
                <w:sz w:val="22"/>
              </w:rPr>
            </w:pPr>
            <w:r w:rsidRPr="00F54125">
              <w:rPr>
                <w:sz w:val="22"/>
              </w:rPr>
              <w:t xml:space="preserve">changing approaches to the construction of history </w:t>
            </w:r>
            <w:r w:rsidRPr="00F54125">
              <w:rPr>
                <w:noProof/>
                <w:sz w:val="22"/>
                <w:lang w:eastAsia="en-AU"/>
              </w:rPr>
              <w:drawing>
                <wp:inline distT="114300" distB="114300" distL="114300" distR="114300" wp14:anchorId="4B9CF06F" wp14:editId="5EC0B095">
                  <wp:extent cx="123825" cy="104775"/>
                  <wp:effectExtent l="0" t="0" r="9525" b="9525"/>
                  <wp:docPr id="282" name="image16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69.png" title="Ethical understand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F54125">
              <w:rPr>
                <w:sz w:val="22"/>
              </w:rPr>
              <w:t xml:space="preserve"> </w:t>
            </w:r>
            <w:r w:rsidRPr="00F54125">
              <w:rPr>
                <w:noProof/>
                <w:sz w:val="22"/>
                <w:lang w:eastAsia="en-AU"/>
              </w:rPr>
              <w:drawing>
                <wp:inline distT="114300" distB="114300" distL="114300" distR="114300" wp14:anchorId="2143314D" wp14:editId="29C72367">
                  <wp:extent cx="66675" cy="104775"/>
                  <wp:effectExtent l="0" t="0" r="9525" b="9525"/>
                  <wp:docPr id="302" name="image242.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42.png" title="Difference and diversity icon"/>
                          <pic:cNvPicPr preferRelativeResize="0"/>
                        </pic:nvPicPr>
                        <pic:blipFill>
                          <a:blip r:embed="rId14"/>
                          <a:srcRect/>
                          <a:stretch>
                            <a:fillRect/>
                          </a:stretch>
                        </pic:blipFill>
                        <pic:spPr>
                          <a:xfrm>
                            <a:off x="0" y="0"/>
                            <a:ext cx="66675" cy="104775"/>
                          </a:xfrm>
                          <a:prstGeom prst="rect">
                            <a:avLst/>
                          </a:prstGeom>
                          <a:ln/>
                        </pic:spPr>
                      </pic:pic>
                    </a:graphicData>
                  </a:graphic>
                </wp:inline>
              </w:drawing>
            </w:r>
          </w:p>
          <w:p w14:paraId="71573FEE" w14:textId="7FCDCA71" w:rsidR="00F54125" w:rsidRPr="00F54125" w:rsidRDefault="00F54125" w:rsidP="00F54125">
            <w:pPr>
              <w:numPr>
                <w:ilvl w:val="1"/>
                <w:numId w:val="12"/>
              </w:numPr>
              <w:spacing w:before="120" w:after="120"/>
              <w:ind w:left="720" w:hanging="360"/>
              <w:contextualSpacing/>
            </w:pPr>
            <w:r w:rsidRPr="00F54125">
              <w:rPr>
                <w:sz w:val="22"/>
              </w:rPr>
              <w:t xml:space="preserve">the shaping of interpretations: the role of context, methodology, purpose, sources and form of communication </w:t>
            </w:r>
            <w:r w:rsidRPr="00F54125">
              <w:rPr>
                <w:noProof/>
                <w:sz w:val="22"/>
                <w:lang w:eastAsia="en-AU"/>
              </w:rPr>
              <w:drawing>
                <wp:inline distT="114300" distB="114300" distL="114300" distR="114300" wp14:anchorId="57A5E462" wp14:editId="123765C3">
                  <wp:extent cx="123825" cy="104775"/>
                  <wp:effectExtent l="0" t="0" r="9525" b="9525"/>
                  <wp:docPr id="310" name="image239.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39.png" title="Ethical understanding icon"/>
                          <pic:cNvPicPr preferRelativeResize="0"/>
                        </pic:nvPicPr>
                        <pic:blipFill>
                          <a:blip r:embed="rId12"/>
                          <a:srcRect/>
                          <a:stretch>
                            <a:fillRect/>
                          </a:stretch>
                        </pic:blipFill>
                        <pic:spPr>
                          <a:xfrm>
                            <a:off x="0" y="0"/>
                            <a:ext cx="123825" cy="104775"/>
                          </a:xfrm>
                          <a:prstGeom prst="rect">
                            <a:avLst/>
                          </a:prstGeom>
                          <a:ln/>
                        </pic:spPr>
                      </pic:pic>
                    </a:graphicData>
                  </a:graphic>
                </wp:inline>
              </w:drawing>
            </w:r>
            <w:r w:rsidRPr="00F54125">
              <w:rPr>
                <w:sz w:val="22"/>
              </w:rPr>
              <w:t xml:space="preserve"> </w:t>
            </w:r>
            <w:r w:rsidRPr="00F54125">
              <w:rPr>
                <w:noProof/>
                <w:sz w:val="22"/>
                <w:lang w:eastAsia="en-AU"/>
              </w:rPr>
              <w:drawing>
                <wp:inline distT="114300" distB="114300" distL="114300" distR="114300" wp14:anchorId="72479B5D" wp14:editId="40204176">
                  <wp:extent cx="104775" cy="104775"/>
                  <wp:effectExtent l="0" t="0" r="9525" b="9525"/>
                  <wp:docPr id="6" name="image59.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59.png" title="Work and enterprise"/>
                          <pic:cNvPicPr preferRelativeResize="0"/>
                        </pic:nvPicPr>
                        <pic:blipFill>
                          <a:blip r:embed="rId15"/>
                          <a:srcRect/>
                          <a:stretch>
                            <a:fillRect/>
                          </a:stretch>
                        </pic:blipFill>
                        <pic:spPr>
                          <a:xfrm>
                            <a:off x="0" y="0"/>
                            <a:ext cx="104775" cy="104775"/>
                          </a:xfrm>
                          <a:prstGeom prst="rect">
                            <a:avLst/>
                          </a:prstGeom>
                          <a:ln/>
                        </pic:spPr>
                      </pic:pic>
                    </a:graphicData>
                  </a:graphic>
                </wp:inline>
              </w:drawing>
            </w:r>
          </w:p>
        </w:tc>
        <w:tc>
          <w:tcPr>
            <w:tcW w:w="7461" w:type="dxa"/>
            <w:tcMar>
              <w:top w:w="57" w:type="dxa"/>
              <w:left w:w="57" w:type="dxa"/>
              <w:bottom w:w="57" w:type="dxa"/>
              <w:right w:w="57" w:type="dxa"/>
            </w:tcMar>
          </w:tcPr>
          <w:p w14:paraId="002F3197" w14:textId="77777777" w:rsidR="005B6148" w:rsidRPr="008028BB" w:rsidRDefault="0042384E" w:rsidP="005A2377">
            <w:pPr>
              <w:rPr>
                <w:rFonts w:cs="Arial"/>
                <w:i/>
                <w:sz w:val="22"/>
              </w:rPr>
            </w:pPr>
            <w:r w:rsidRPr="008028BB">
              <w:rPr>
                <w:rFonts w:cs="Arial"/>
                <w:i/>
                <w:sz w:val="22"/>
              </w:rPr>
              <w:lastRenderedPageBreak/>
              <w:t>Students will be required to complete some reading and investigation outside class time to prepare for some of the following activities.</w:t>
            </w:r>
          </w:p>
          <w:p w14:paraId="5840482A" w14:textId="77777777" w:rsidR="0042384E" w:rsidRPr="00201413" w:rsidRDefault="0042384E" w:rsidP="005A2377">
            <w:pPr>
              <w:rPr>
                <w:rFonts w:cs="Arial"/>
                <w:sz w:val="22"/>
              </w:rPr>
            </w:pPr>
          </w:p>
          <w:p w14:paraId="7EE2BFB4" w14:textId="3B98C894" w:rsidR="003C4BF1" w:rsidRPr="009810EB" w:rsidRDefault="00C07680" w:rsidP="009810EB">
            <w:pPr>
              <w:numPr>
                <w:ilvl w:val="0"/>
                <w:numId w:val="12"/>
              </w:numPr>
              <w:ind w:left="360" w:hanging="360"/>
              <w:rPr>
                <w:sz w:val="22"/>
              </w:rPr>
            </w:pPr>
            <w:r w:rsidRPr="009810EB">
              <w:rPr>
                <w:sz w:val="22"/>
              </w:rPr>
              <w:t>Students read and discuss syllabus requirements of the History Extension Case Study</w:t>
            </w:r>
            <w:r w:rsidR="0064552D" w:rsidRPr="009810EB">
              <w:rPr>
                <w:sz w:val="22"/>
              </w:rPr>
              <w:t>.</w:t>
            </w:r>
          </w:p>
          <w:p w14:paraId="49C6A1BB" w14:textId="268986CD" w:rsidR="00C07680" w:rsidRPr="009810EB" w:rsidRDefault="00C07680" w:rsidP="009810EB">
            <w:pPr>
              <w:numPr>
                <w:ilvl w:val="0"/>
                <w:numId w:val="12"/>
              </w:numPr>
              <w:ind w:left="360" w:hanging="360"/>
              <w:rPr>
                <w:sz w:val="22"/>
              </w:rPr>
            </w:pPr>
            <w:r w:rsidRPr="009810EB">
              <w:rPr>
                <w:sz w:val="22"/>
              </w:rPr>
              <w:t xml:space="preserve">Students read and discuss the syllabus requirements relating to the Partition of India </w:t>
            </w:r>
            <w:r w:rsidR="0064552D" w:rsidRPr="009810EB">
              <w:rPr>
                <w:sz w:val="22"/>
              </w:rPr>
              <w:t>C</w:t>
            </w:r>
            <w:r w:rsidR="007B61F3" w:rsidRPr="009810EB">
              <w:rPr>
                <w:sz w:val="22"/>
              </w:rPr>
              <w:t>ase</w:t>
            </w:r>
            <w:r w:rsidRPr="009810EB">
              <w:rPr>
                <w:sz w:val="22"/>
              </w:rPr>
              <w:t xml:space="preserve"> </w:t>
            </w:r>
            <w:r w:rsidR="0064552D" w:rsidRPr="009810EB">
              <w:rPr>
                <w:sz w:val="22"/>
              </w:rPr>
              <w:t>S</w:t>
            </w:r>
            <w:r w:rsidRPr="009810EB">
              <w:rPr>
                <w:sz w:val="22"/>
              </w:rPr>
              <w:t>tudy</w:t>
            </w:r>
            <w:r w:rsidR="0064552D" w:rsidRPr="009810EB">
              <w:rPr>
                <w:sz w:val="22"/>
              </w:rPr>
              <w:t xml:space="preserve">, </w:t>
            </w:r>
            <w:r w:rsidR="00792167" w:rsidRPr="009810EB">
              <w:rPr>
                <w:sz w:val="22"/>
              </w:rPr>
              <w:t>including a brief summary of the main debates.</w:t>
            </w:r>
          </w:p>
          <w:p w14:paraId="48C3D273" w14:textId="31638E22" w:rsidR="00C07680" w:rsidRPr="009810EB" w:rsidRDefault="00C07680" w:rsidP="009810EB">
            <w:pPr>
              <w:numPr>
                <w:ilvl w:val="0"/>
                <w:numId w:val="12"/>
              </w:numPr>
              <w:ind w:left="360" w:hanging="360"/>
              <w:rPr>
                <w:sz w:val="22"/>
              </w:rPr>
            </w:pPr>
            <w:r w:rsidRPr="009810EB">
              <w:rPr>
                <w:sz w:val="22"/>
              </w:rPr>
              <w:t xml:space="preserve">Students watch and review the BBC </w:t>
            </w:r>
            <w:r w:rsidR="0064552D" w:rsidRPr="009810EB">
              <w:rPr>
                <w:sz w:val="22"/>
              </w:rPr>
              <w:t>d</w:t>
            </w:r>
            <w:r w:rsidRPr="009810EB">
              <w:rPr>
                <w:sz w:val="22"/>
              </w:rPr>
              <w:t xml:space="preserve">ocumentary </w:t>
            </w:r>
            <w:r w:rsidRPr="00164437">
              <w:rPr>
                <w:i/>
                <w:sz w:val="22"/>
              </w:rPr>
              <w:t>The Day India Burned</w:t>
            </w:r>
            <w:r w:rsidRPr="009810EB">
              <w:rPr>
                <w:sz w:val="22"/>
              </w:rPr>
              <w:t xml:space="preserve"> (2007). </w:t>
            </w:r>
            <w:r w:rsidR="0064552D" w:rsidRPr="009810EB">
              <w:rPr>
                <w:sz w:val="22"/>
              </w:rPr>
              <w:t>As they watch the documentary</w:t>
            </w:r>
            <w:r w:rsidR="007B61F3" w:rsidRPr="009810EB">
              <w:rPr>
                <w:sz w:val="22"/>
              </w:rPr>
              <w:t>, students</w:t>
            </w:r>
            <w:r w:rsidRPr="009810EB">
              <w:rPr>
                <w:sz w:val="22"/>
              </w:rPr>
              <w:t>:</w:t>
            </w:r>
          </w:p>
          <w:p w14:paraId="4F541C8D" w14:textId="535082C2" w:rsidR="00C07680" w:rsidRDefault="0064552D" w:rsidP="00FB7BF7">
            <w:pPr>
              <w:pStyle w:val="ListParagraph"/>
              <w:numPr>
                <w:ilvl w:val="0"/>
                <w:numId w:val="10"/>
              </w:numPr>
              <w:rPr>
                <w:rFonts w:cs="Arial"/>
                <w:sz w:val="22"/>
              </w:rPr>
            </w:pPr>
            <w:r>
              <w:rPr>
                <w:rFonts w:cs="Arial"/>
                <w:sz w:val="22"/>
              </w:rPr>
              <w:t>d</w:t>
            </w:r>
            <w:r w:rsidR="00C07680">
              <w:rPr>
                <w:rFonts w:cs="Arial"/>
                <w:sz w:val="22"/>
              </w:rPr>
              <w:t>evelop structured notes about the main events of the Partition of India</w:t>
            </w:r>
          </w:p>
          <w:p w14:paraId="5F2921C3" w14:textId="0B39AB50" w:rsidR="00AC7AE4" w:rsidRDefault="0064552D" w:rsidP="00FB7BF7">
            <w:pPr>
              <w:pStyle w:val="ListParagraph"/>
              <w:numPr>
                <w:ilvl w:val="0"/>
                <w:numId w:val="10"/>
              </w:numPr>
              <w:rPr>
                <w:rFonts w:cs="Arial"/>
                <w:sz w:val="22"/>
              </w:rPr>
            </w:pPr>
            <w:r>
              <w:rPr>
                <w:rFonts w:cs="Arial"/>
                <w:sz w:val="22"/>
              </w:rPr>
              <w:t>c</w:t>
            </w:r>
            <w:r w:rsidR="00AC7AE4">
              <w:rPr>
                <w:rFonts w:cs="Arial"/>
                <w:sz w:val="22"/>
              </w:rPr>
              <w:t>reate a timeline of the main events</w:t>
            </w:r>
            <w:r w:rsidR="00AC31E1">
              <w:rPr>
                <w:rFonts w:cs="Arial"/>
                <w:sz w:val="22"/>
              </w:rPr>
              <w:t>,</w:t>
            </w:r>
            <w:r w:rsidR="00AC7AE4">
              <w:rPr>
                <w:rFonts w:cs="Arial"/>
                <w:sz w:val="22"/>
              </w:rPr>
              <w:t xml:space="preserve"> making use of the documentary and some extra research (using introductory articles on the internet)</w:t>
            </w:r>
          </w:p>
          <w:p w14:paraId="19D56408" w14:textId="19156C66" w:rsidR="005A3DDC" w:rsidRDefault="0064552D" w:rsidP="00FB7BF7">
            <w:pPr>
              <w:pStyle w:val="ListParagraph"/>
              <w:numPr>
                <w:ilvl w:val="0"/>
                <w:numId w:val="10"/>
              </w:numPr>
              <w:rPr>
                <w:rFonts w:cs="Arial"/>
                <w:sz w:val="22"/>
              </w:rPr>
            </w:pPr>
            <w:proofErr w:type="gramStart"/>
            <w:r>
              <w:rPr>
                <w:rFonts w:cs="Arial"/>
                <w:sz w:val="22"/>
              </w:rPr>
              <w:t>c</w:t>
            </w:r>
            <w:r w:rsidR="00C07680">
              <w:rPr>
                <w:rFonts w:cs="Arial"/>
                <w:sz w:val="22"/>
              </w:rPr>
              <w:t>omplete</w:t>
            </w:r>
            <w:proofErr w:type="gramEnd"/>
            <w:r w:rsidR="00C07680">
              <w:rPr>
                <w:rFonts w:cs="Arial"/>
                <w:sz w:val="22"/>
              </w:rPr>
              <w:t xml:space="preserve"> a prediction activity</w:t>
            </w:r>
            <w:r>
              <w:rPr>
                <w:rFonts w:cs="Arial"/>
                <w:sz w:val="22"/>
              </w:rPr>
              <w:t>.</w:t>
            </w:r>
            <w:r w:rsidR="00C07680">
              <w:rPr>
                <w:rFonts w:cs="Arial"/>
                <w:sz w:val="22"/>
              </w:rPr>
              <w:t xml:space="preserve"> Students are provided with an ‘identity card’ with different historical positions</w:t>
            </w:r>
            <w:r w:rsidR="005A3DDC">
              <w:rPr>
                <w:rFonts w:cs="Arial"/>
                <w:sz w:val="22"/>
              </w:rPr>
              <w:t>,</w:t>
            </w:r>
            <w:r w:rsidR="00C07680">
              <w:rPr>
                <w:rFonts w:cs="Arial"/>
                <w:sz w:val="22"/>
              </w:rPr>
              <w:t xml:space="preserve"> including</w:t>
            </w:r>
            <w:r w:rsidR="005A3DDC">
              <w:rPr>
                <w:rFonts w:cs="Arial"/>
                <w:sz w:val="22"/>
              </w:rPr>
              <w:t>:</w:t>
            </w:r>
          </w:p>
          <w:p w14:paraId="728B18FA" w14:textId="77777777" w:rsidR="005A3DDC" w:rsidRDefault="005A3DDC" w:rsidP="005A3DDC">
            <w:pPr>
              <w:pStyle w:val="ListParagraph"/>
              <w:numPr>
                <w:ilvl w:val="1"/>
                <w:numId w:val="14"/>
              </w:numPr>
              <w:rPr>
                <w:rFonts w:cs="Arial"/>
                <w:sz w:val="22"/>
              </w:rPr>
            </w:pPr>
            <w:r>
              <w:rPr>
                <w:rFonts w:cs="Arial"/>
                <w:sz w:val="22"/>
              </w:rPr>
              <w:t>British imperial historian</w:t>
            </w:r>
          </w:p>
          <w:p w14:paraId="09A004E6" w14:textId="77777777" w:rsidR="005A3DDC" w:rsidRDefault="00C07680" w:rsidP="005A3DDC">
            <w:pPr>
              <w:pStyle w:val="ListParagraph"/>
              <w:numPr>
                <w:ilvl w:val="1"/>
                <w:numId w:val="14"/>
              </w:numPr>
              <w:rPr>
                <w:rFonts w:cs="Arial"/>
                <w:sz w:val="22"/>
              </w:rPr>
            </w:pPr>
            <w:r>
              <w:rPr>
                <w:rFonts w:cs="Arial"/>
                <w:sz w:val="22"/>
              </w:rPr>
              <w:t>Indian nationalist histo</w:t>
            </w:r>
            <w:r w:rsidR="00AC31E1">
              <w:rPr>
                <w:rFonts w:cs="Arial"/>
                <w:sz w:val="22"/>
              </w:rPr>
              <w:t>rian</w:t>
            </w:r>
          </w:p>
          <w:p w14:paraId="2F7FFCD7" w14:textId="77777777" w:rsidR="005A3DDC" w:rsidRDefault="00AC31E1" w:rsidP="005A3DDC">
            <w:pPr>
              <w:pStyle w:val="ListParagraph"/>
              <w:numPr>
                <w:ilvl w:val="1"/>
                <w:numId w:val="14"/>
              </w:numPr>
              <w:rPr>
                <w:rFonts w:cs="Arial"/>
                <w:sz w:val="22"/>
              </w:rPr>
            </w:pPr>
            <w:r>
              <w:rPr>
                <w:rFonts w:cs="Arial"/>
                <w:sz w:val="22"/>
              </w:rPr>
              <w:t>Pakistani historian</w:t>
            </w:r>
          </w:p>
          <w:p w14:paraId="2FEEF4D5" w14:textId="77777777" w:rsidR="005A3DDC" w:rsidRDefault="00AC31E1" w:rsidP="005A3DDC">
            <w:pPr>
              <w:pStyle w:val="ListParagraph"/>
              <w:numPr>
                <w:ilvl w:val="1"/>
                <w:numId w:val="14"/>
              </w:numPr>
              <w:rPr>
                <w:rFonts w:cs="Arial"/>
                <w:sz w:val="22"/>
              </w:rPr>
            </w:pPr>
            <w:r>
              <w:rPr>
                <w:rFonts w:cs="Arial"/>
                <w:sz w:val="22"/>
              </w:rPr>
              <w:t>post</w:t>
            </w:r>
            <w:r w:rsidR="00C07680">
              <w:rPr>
                <w:rFonts w:cs="Arial"/>
                <w:sz w:val="22"/>
              </w:rPr>
              <w:t>colonial historian</w:t>
            </w:r>
          </w:p>
          <w:p w14:paraId="3583FB9B" w14:textId="77777777" w:rsidR="005A3DDC" w:rsidRDefault="00C07680" w:rsidP="005A3DDC">
            <w:pPr>
              <w:pStyle w:val="ListParagraph"/>
              <w:numPr>
                <w:ilvl w:val="1"/>
                <w:numId w:val="14"/>
              </w:numPr>
              <w:rPr>
                <w:rFonts w:cs="Arial"/>
                <w:sz w:val="22"/>
              </w:rPr>
            </w:pPr>
            <w:proofErr w:type="gramStart"/>
            <w:r>
              <w:rPr>
                <w:rFonts w:cs="Arial"/>
                <w:sz w:val="22"/>
              </w:rPr>
              <w:t>feminist</w:t>
            </w:r>
            <w:proofErr w:type="gramEnd"/>
            <w:r>
              <w:rPr>
                <w:rFonts w:cs="Arial"/>
                <w:sz w:val="22"/>
              </w:rPr>
              <w:t xml:space="preserve"> historian, etc. </w:t>
            </w:r>
          </w:p>
          <w:p w14:paraId="41F1AC16" w14:textId="23584566" w:rsidR="00C07680" w:rsidRPr="005A3DDC" w:rsidRDefault="00C07680" w:rsidP="005A3DDC">
            <w:pPr>
              <w:ind w:left="360"/>
              <w:rPr>
                <w:rFonts w:cs="Arial"/>
                <w:sz w:val="22"/>
              </w:rPr>
            </w:pPr>
            <w:r w:rsidRPr="005A3DDC">
              <w:rPr>
                <w:rFonts w:cs="Arial"/>
                <w:sz w:val="22"/>
              </w:rPr>
              <w:t>Students are then required to outline what these different historians might claim about the Partition of India. Students share their ideas and create a table recording the major predictions/expectations that they develop.</w:t>
            </w:r>
          </w:p>
          <w:p w14:paraId="0339381E" w14:textId="32BD2585" w:rsidR="00C21EEC" w:rsidRPr="009810EB" w:rsidRDefault="00C21EEC" w:rsidP="009810EB">
            <w:pPr>
              <w:numPr>
                <w:ilvl w:val="0"/>
                <w:numId w:val="12"/>
              </w:numPr>
              <w:ind w:left="360" w:hanging="360"/>
              <w:rPr>
                <w:sz w:val="22"/>
              </w:rPr>
            </w:pPr>
            <w:r w:rsidRPr="009810EB">
              <w:rPr>
                <w:sz w:val="22"/>
              </w:rPr>
              <w:t>Students anal</w:t>
            </w:r>
            <w:r w:rsidR="00F34892" w:rsidRPr="009810EB">
              <w:rPr>
                <w:sz w:val="22"/>
              </w:rPr>
              <w:t>y</w:t>
            </w:r>
            <w:r w:rsidRPr="009810EB">
              <w:rPr>
                <w:sz w:val="22"/>
              </w:rPr>
              <w:t>se source material surrounding the Partition</w:t>
            </w:r>
            <w:r w:rsidR="00AC31E1" w:rsidRPr="009810EB">
              <w:rPr>
                <w:sz w:val="22"/>
              </w:rPr>
              <w:t>,</w:t>
            </w:r>
            <w:r w:rsidRPr="009810EB">
              <w:rPr>
                <w:sz w:val="22"/>
              </w:rPr>
              <w:t xml:space="preserve"> including speeches</w:t>
            </w:r>
            <w:r w:rsidR="00F34892" w:rsidRPr="009810EB">
              <w:rPr>
                <w:sz w:val="22"/>
              </w:rPr>
              <w:t>/letters</w:t>
            </w:r>
            <w:r w:rsidRPr="009810EB">
              <w:rPr>
                <w:sz w:val="22"/>
              </w:rPr>
              <w:t xml:space="preserve"> </w:t>
            </w:r>
            <w:r w:rsidR="005D7CBA" w:rsidRPr="009810EB">
              <w:rPr>
                <w:sz w:val="22"/>
              </w:rPr>
              <w:t>b</w:t>
            </w:r>
            <w:r w:rsidRPr="009810EB">
              <w:rPr>
                <w:sz w:val="22"/>
              </w:rPr>
              <w:t xml:space="preserve">y Lord Mountbatten, </w:t>
            </w:r>
            <w:r w:rsidR="00F34892" w:rsidRPr="009810EB">
              <w:rPr>
                <w:sz w:val="22"/>
              </w:rPr>
              <w:t>Clement A</w:t>
            </w:r>
            <w:r w:rsidR="00AC31E1" w:rsidRPr="009810EB">
              <w:rPr>
                <w:sz w:val="22"/>
              </w:rPr>
              <w:t>t</w:t>
            </w:r>
            <w:r w:rsidR="00F34892" w:rsidRPr="009810EB">
              <w:rPr>
                <w:sz w:val="22"/>
              </w:rPr>
              <w:t xml:space="preserve">tlee, </w:t>
            </w:r>
            <w:r w:rsidRPr="009810EB">
              <w:rPr>
                <w:sz w:val="22"/>
              </w:rPr>
              <w:t xml:space="preserve">Jinnah and </w:t>
            </w:r>
            <w:r w:rsidR="00F34892" w:rsidRPr="009810EB">
              <w:rPr>
                <w:sz w:val="22"/>
              </w:rPr>
              <w:t>Nehru</w:t>
            </w:r>
            <w:r w:rsidR="005D7CBA" w:rsidRPr="009810EB">
              <w:rPr>
                <w:sz w:val="22"/>
              </w:rPr>
              <w:t>, in order to respond to the following questions:</w:t>
            </w:r>
          </w:p>
          <w:p w14:paraId="5B0E4C31" w14:textId="77777777" w:rsidR="00F34892" w:rsidRPr="00F34892" w:rsidRDefault="00F34892" w:rsidP="0064552D">
            <w:pPr>
              <w:pStyle w:val="ListParagraph"/>
              <w:numPr>
                <w:ilvl w:val="0"/>
                <w:numId w:val="10"/>
              </w:numPr>
              <w:rPr>
                <w:rFonts w:cs="Arial"/>
                <w:sz w:val="22"/>
              </w:rPr>
            </w:pPr>
            <w:r w:rsidRPr="00F34892">
              <w:rPr>
                <w:rFonts w:cs="Arial"/>
                <w:sz w:val="22"/>
              </w:rPr>
              <w:t>How were contemporaries explaining the reasons for Partition?</w:t>
            </w:r>
          </w:p>
          <w:p w14:paraId="792CFCCA" w14:textId="430D0989" w:rsidR="00F34892" w:rsidRPr="00F34892" w:rsidRDefault="00F34892" w:rsidP="0064552D">
            <w:pPr>
              <w:pStyle w:val="ListParagraph"/>
              <w:numPr>
                <w:ilvl w:val="0"/>
                <w:numId w:val="10"/>
              </w:numPr>
              <w:rPr>
                <w:rFonts w:cs="Arial"/>
                <w:sz w:val="22"/>
              </w:rPr>
            </w:pPr>
            <w:r w:rsidRPr="00F34892">
              <w:rPr>
                <w:rFonts w:cs="Arial"/>
                <w:sz w:val="22"/>
              </w:rPr>
              <w:t>What were some of the major points of disagreement/difference?</w:t>
            </w:r>
          </w:p>
          <w:p w14:paraId="58A86410" w14:textId="77777777" w:rsidR="00AC31E1" w:rsidRPr="009810EB" w:rsidRDefault="00AC31E1" w:rsidP="009810EB">
            <w:pPr>
              <w:numPr>
                <w:ilvl w:val="0"/>
                <w:numId w:val="12"/>
              </w:numPr>
              <w:ind w:left="360" w:hanging="360"/>
              <w:rPr>
                <w:sz w:val="22"/>
              </w:rPr>
            </w:pPr>
            <w:r w:rsidRPr="009810EB">
              <w:rPr>
                <w:sz w:val="22"/>
              </w:rPr>
              <w:t xml:space="preserve">Students read chapters 1 and 2 of Ian Talbot and </w:t>
            </w:r>
            <w:proofErr w:type="spellStart"/>
            <w:r w:rsidRPr="009810EB">
              <w:rPr>
                <w:sz w:val="22"/>
              </w:rPr>
              <w:t>Gurharpal</w:t>
            </w:r>
            <w:proofErr w:type="spellEnd"/>
            <w:r w:rsidRPr="009810EB">
              <w:rPr>
                <w:sz w:val="22"/>
              </w:rPr>
              <w:t xml:space="preserve"> Singh, </w:t>
            </w:r>
            <w:r w:rsidRPr="00E85895">
              <w:rPr>
                <w:i/>
                <w:sz w:val="22"/>
              </w:rPr>
              <w:t>The Partition of India,</w:t>
            </w:r>
            <w:r w:rsidRPr="009810EB">
              <w:rPr>
                <w:sz w:val="22"/>
              </w:rPr>
              <w:t xml:space="preserve"> Cambridge University Press, New York, 2009 and complete a set of structured questions exploring the main historiographical approaches to the Partition of India outlined.</w:t>
            </w:r>
          </w:p>
          <w:p w14:paraId="4F13AD80" w14:textId="77777777" w:rsidR="00F54125" w:rsidRPr="00361C22" w:rsidRDefault="00F54125" w:rsidP="009810EB">
            <w:pPr>
              <w:numPr>
                <w:ilvl w:val="0"/>
                <w:numId w:val="12"/>
              </w:numPr>
              <w:ind w:left="360" w:hanging="360"/>
              <w:rPr>
                <w:rFonts w:cs="Arial"/>
                <w:sz w:val="22"/>
              </w:rPr>
            </w:pPr>
            <w:r w:rsidRPr="009810EB">
              <w:rPr>
                <w:sz w:val="22"/>
              </w:rPr>
              <w:t>Students are introduced to the main historians to be focused on in the Case Study using a recorded lecture and/or class presentation. The introduction includes basic biographical details, context, method,</w:t>
            </w:r>
            <w:r>
              <w:rPr>
                <w:rFonts w:cs="Arial"/>
                <w:sz w:val="22"/>
              </w:rPr>
              <w:t xml:space="preserve"> </w:t>
            </w:r>
            <w:r>
              <w:rPr>
                <w:rFonts w:cs="Arial"/>
                <w:sz w:val="22"/>
              </w:rPr>
              <w:lastRenderedPageBreak/>
              <w:t>claims, criticisms, etc. Historians/sources may include:</w:t>
            </w:r>
          </w:p>
          <w:p w14:paraId="40F3F2B9" w14:textId="51D3AD64" w:rsidR="00F54125" w:rsidRPr="005D7CBA" w:rsidRDefault="00F54125" w:rsidP="00F54125">
            <w:pPr>
              <w:pStyle w:val="ListParagraph"/>
              <w:numPr>
                <w:ilvl w:val="0"/>
                <w:numId w:val="10"/>
              </w:numPr>
              <w:rPr>
                <w:rFonts w:cs="Arial"/>
                <w:sz w:val="22"/>
              </w:rPr>
            </w:pPr>
            <w:r w:rsidRPr="008028BB">
              <w:rPr>
                <w:rFonts w:cs="Arial"/>
                <w:sz w:val="22"/>
              </w:rPr>
              <w:t xml:space="preserve">Lal Bahadur, </w:t>
            </w:r>
            <w:r w:rsidRPr="00FB7BF7">
              <w:rPr>
                <w:rFonts w:cs="Arial"/>
                <w:i/>
                <w:sz w:val="22"/>
              </w:rPr>
              <w:t>Struggle for Pakistan: Tragedy of the Triumph of Muslim Communalis</w:t>
            </w:r>
            <w:r w:rsidR="003C43E1">
              <w:rPr>
                <w:rFonts w:cs="Arial"/>
                <w:i/>
                <w:sz w:val="22"/>
              </w:rPr>
              <w:t>m in India, 1906–</w:t>
            </w:r>
            <w:r w:rsidRPr="00FB7BF7">
              <w:rPr>
                <w:rFonts w:cs="Arial"/>
                <w:i/>
                <w:sz w:val="22"/>
              </w:rPr>
              <w:t>1947</w:t>
            </w:r>
            <w:r w:rsidRPr="008028BB">
              <w:rPr>
                <w:rFonts w:cs="Arial"/>
                <w:sz w:val="22"/>
              </w:rPr>
              <w:t>, Sterling, New Delhi, 1988</w:t>
            </w:r>
            <w:r>
              <w:rPr>
                <w:rFonts w:cs="Arial"/>
                <w:sz w:val="22"/>
              </w:rPr>
              <w:t xml:space="preserve"> (Indian Nationalist and former Prime Minister of </w:t>
            </w:r>
            <w:r w:rsidRPr="008C4945">
              <w:rPr>
                <w:rFonts w:cs="Arial"/>
                <w:sz w:val="22"/>
              </w:rPr>
              <w:t>India)</w:t>
            </w:r>
          </w:p>
          <w:p w14:paraId="69B37A46" w14:textId="77777777" w:rsidR="00F54125" w:rsidRPr="005D7CBA" w:rsidRDefault="00F54125" w:rsidP="00F54125">
            <w:pPr>
              <w:pStyle w:val="ListParagraph"/>
              <w:numPr>
                <w:ilvl w:val="0"/>
                <w:numId w:val="10"/>
              </w:numPr>
              <w:rPr>
                <w:rFonts w:cs="Arial"/>
                <w:sz w:val="22"/>
              </w:rPr>
            </w:pPr>
            <w:proofErr w:type="spellStart"/>
            <w:r w:rsidRPr="008C4945">
              <w:rPr>
                <w:rFonts w:cs="Arial"/>
                <w:sz w:val="22"/>
              </w:rPr>
              <w:t>Ishtiaq</w:t>
            </w:r>
            <w:proofErr w:type="spellEnd"/>
            <w:r w:rsidRPr="008C4945">
              <w:rPr>
                <w:rFonts w:cs="Arial"/>
                <w:sz w:val="22"/>
              </w:rPr>
              <w:t xml:space="preserve"> Hussain Qureshi, </w:t>
            </w:r>
            <w:r w:rsidRPr="00FB7BF7">
              <w:rPr>
                <w:rFonts w:cs="Arial"/>
                <w:i/>
                <w:sz w:val="22"/>
              </w:rPr>
              <w:t>The Muslim Community of the Indo-Pakistan Subcontinent: A brief Historical Analysis</w:t>
            </w:r>
            <w:r w:rsidRPr="008C4945">
              <w:rPr>
                <w:rFonts w:cs="Arial"/>
                <w:sz w:val="22"/>
              </w:rPr>
              <w:t xml:space="preserve"> (2</w:t>
            </w:r>
            <w:r w:rsidRPr="005D7CBA">
              <w:rPr>
                <w:rFonts w:cs="Arial"/>
                <w:sz w:val="22"/>
              </w:rPr>
              <w:t>nd</w:t>
            </w:r>
            <w:r w:rsidRPr="008C4945">
              <w:rPr>
                <w:rFonts w:cs="Arial"/>
                <w:sz w:val="22"/>
              </w:rPr>
              <w:t xml:space="preserve"> Ed.), </w:t>
            </w:r>
            <w:proofErr w:type="spellStart"/>
            <w:r w:rsidRPr="008C4945">
              <w:rPr>
                <w:rFonts w:cs="Arial"/>
                <w:sz w:val="22"/>
              </w:rPr>
              <w:t>Ma’ref</w:t>
            </w:r>
            <w:proofErr w:type="spellEnd"/>
            <w:r w:rsidRPr="008C4945">
              <w:rPr>
                <w:rFonts w:cs="Arial"/>
                <w:sz w:val="22"/>
              </w:rPr>
              <w:t>, Karachi, 1977</w:t>
            </w:r>
            <w:r>
              <w:rPr>
                <w:rFonts w:cs="Arial"/>
                <w:sz w:val="22"/>
              </w:rPr>
              <w:t xml:space="preserve"> (Pakistani nationalist)</w:t>
            </w:r>
          </w:p>
          <w:p w14:paraId="2566ABD1" w14:textId="77777777" w:rsidR="00F54125" w:rsidRPr="005D7CBA" w:rsidRDefault="00F54125" w:rsidP="00F54125">
            <w:pPr>
              <w:pStyle w:val="ListParagraph"/>
              <w:numPr>
                <w:ilvl w:val="0"/>
                <w:numId w:val="10"/>
              </w:numPr>
              <w:rPr>
                <w:rFonts w:cs="Arial"/>
                <w:sz w:val="22"/>
              </w:rPr>
            </w:pPr>
            <w:r w:rsidRPr="008C4945">
              <w:rPr>
                <w:rFonts w:cs="Arial"/>
                <w:sz w:val="22"/>
              </w:rPr>
              <w:t>Stanley</w:t>
            </w:r>
            <w:r w:rsidRPr="008028BB">
              <w:rPr>
                <w:rFonts w:cs="Arial"/>
                <w:sz w:val="22"/>
              </w:rPr>
              <w:t xml:space="preserve"> </w:t>
            </w:r>
            <w:proofErr w:type="spellStart"/>
            <w:r w:rsidRPr="008028BB">
              <w:rPr>
                <w:rFonts w:cs="Arial"/>
                <w:sz w:val="22"/>
              </w:rPr>
              <w:t>Wolpert</w:t>
            </w:r>
            <w:proofErr w:type="spellEnd"/>
            <w:r w:rsidRPr="008028BB">
              <w:rPr>
                <w:rFonts w:cs="Arial"/>
                <w:sz w:val="22"/>
              </w:rPr>
              <w:t xml:space="preserve">, </w:t>
            </w:r>
            <w:r w:rsidRPr="00FB7BF7">
              <w:rPr>
                <w:rFonts w:cs="Arial"/>
                <w:i/>
                <w:sz w:val="22"/>
              </w:rPr>
              <w:t>Shameful Flight: The Last Years of the British Empire in India</w:t>
            </w:r>
            <w:r w:rsidRPr="008028BB">
              <w:rPr>
                <w:rFonts w:cs="Arial"/>
                <w:sz w:val="22"/>
              </w:rPr>
              <w:t>, OUP, New York, 2006</w:t>
            </w:r>
            <w:r>
              <w:rPr>
                <w:rFonts w:cs="Arial"/>
                <w:sz w:val="22"/>
              </w:rPr>
              <w:t xml:space="preserve"> (modern revisionist historian)</w:t>
            </w:r>
          </w:p>
          <w:p w14:paraId="6EDA4957" w14:textId="77777777" w:rsidR="00F54125" w:rsidRPr="005D7CBA" w:rsidRDefault="00F54125" w:rsidP="00F54125">
            <w:pPr>
              <w:pStyle w:val="ListParagraph"/>
              <w:numPr>
                <w:ilvl w:val="0"/>
                <w:numId w:val="10"/>
              </w:numPr>
              <w:rPr>
                <w:rFonts w:cs="Arial"/>
                <w:sz w:val="22"/>
              </w:rPr>
            </w:pPr>
            <w:proofErr w:type="spellStart"/>
            <w:r w:rsidRPr="008028BB">
              <w:rPr>
                <w:rFonts w:cs="Arial"/>
                <w:sz w:val="22"/>
              </w:rPr>
              <w:t>Ritu</w:t>
            </w:r>
            <w:proofErr w:type="spellEnd"/>
            <w:r w:rsidRPr="008028BB">
              <w:rPr>
                <w:rFonts w:cs="Arial"/>
                <w:sz w:val="22"/>
              </w:rPr>
              <w:t xml:space="preserve"> Menon and </w:t>
            </w:r>
            <w:proofErr w:type="spellStart"/>
            <w:r w:rsidRPr="008028BB">
              <w:rPr>
                <w:rFonts w:cs="Arial"/>
                <w:sz w:val="22"/>
              </w:rPr>
              <w:t>Kamla</w:t>
            </w:r>
            <w:proofErr w:type="spellEnd"/>
            <w:r w:rsidRPr="008028BB">
              <w:rPr>
                <w:rFonts w:cs="Arial"/>
                <w:sz w:val="22"/>
              </w:rPr>
              <w:t xml:space="preserve"> </w:t>
            </w:r>
            <w:proofErr w:type="spellStart"/>
            <w:r w:rsidRPr="008028BB">
              <w:rPr>
                <w:rFonts w:cs="Arial"/>
                <w:sz w:val="22"/>
              </w:rPr>
              <w:t>Bhasin</w:t>
            </w:r>
            <w:proofErr w:type="spellEnd"/>
            <w:r w:rsidRPr="008028BB">
              <w:rPr>
                <w:rFonts w:cs="Arial"/>
                <w:sz w:val="22"/>
              </w:rPr>
              <w:t xml:space="preserve">, </w:t>
            </w:r>
            <w:r w:rsidRPr="00FB7BF7">
              <w:rPr>
                <w:rFonts w:cs="Arial"/>
                <w:i/>
                <w:sz w:val="22"/>
              </w:rPr>
              <w:t>Borders and Boundaries: Women in India’s Partition</w:t>
            </w:r>
            <w:r w:rsidRPr="008028BB">
              <w:rPr>
                <w:rFonts w:cs="Arial"/>
                <w:sz w:val="22"/>
              </w:rPr>
              <w:t>, Rutgers University Press, 1998</w:t>
            </w:r>
            <w:r>
              <w:rPr>
                <w:rFonts w:cs="Arial"/>
                <w:sz w:val="22"/>
              </w:rPr>
              <w:t xml:space="preserve"> (modern, feminist history)</w:t>
            </w:r>
          </w:p>
          <w:p w14:paraId="473C7555" w14:textId="77777777" w:rsidR="00F54125" w:rsidRPr="005D7CBA" w:rsidRDefault="00F54125" w:rsidP="00F54125">
            <w:pPr>
              <w:pStyle w:val="ListParagraph"/>
              <w:numPr>
                <w:ilvl w:val="0"/>
                <w:numId w:val="10"/>
              </w:numPr>
              <w:rPr>
                <w:rFonts w:cs="Arial"/>
                <w:sz w:val="22"/>
              </w:rPr>
            </w:pPr>
            <w:r w:rsidRPr="008028BB">
              <w:rPr>
                <w:rFonts w:cs="Arial"/>
                <w:sz w:val="22"/>
              </w:rPr>
              <w:t xml:space="preserve">Perry Anderson, </w:t>
            </w:r>
            <w:r w:rsidRPr="00FB7BF7">
              <w:rPr>
                <w:rFonts w:cs="Arial"/>
                <w:i/>
                <w:sz w:val="22"/>
              </w:rPr>
              <w:t>The Indian Ideology</w:t>
            </w:r>
            <w:r w:rsidRPr="005D7CBA">
              <w:rPr>
                <w:rFonts w:cs="Arial"/>
                <w:sz w:val="22"/>
              </w:rPr>
              <w:t>, Verso</w:t>
            </w:r>
            <w:r w:rsidRPr="007B61F3">
              <w:rPr>
                <w:rFonts w:cs="Arial"/>
                <w:sz w:val="22"/>
              </w:rPr>
              <w:t>,</w:t>
            </w:r>
            <w:r w:rsidRPr="008028BB">
              <w:rPr>
                <w:rFonts w:cs="Arial"/>
                <w:sz w:val="22"/>
              </w:rPr>
              <w:t xml:space="preserve"> 2015</w:t>
            </w:r>
            <w:r>
              <w:rPr>
                <w:rFonts w:cs="Arial"/>
                <w:sz w:val="22"/>
              </w:rPr>
              <w:t xml:space="preserve"> (modern Marxist historian and social commentator)</w:t>
            </w:r>
          </w:p>
          <w:p w14:paraId="756E18EA" w14:textId="502E28FF" w:rsidR="00F54125" w:rsidRPr="009810EB" w:rsidRDefault="00F54125" w:rsidP="009810EB">
            <w:pPr>
              <w:numPr>
                <w:ilvl w:val="0"/>
                <w:numId w:val="12"/>
              </w:numPr>
              <w:ind w:left="360" w:hanging="360"/>
              <w:rPr>
                <w:sz w:val="22"/>
              </w:rPr>
            </w:pPr>
            <w:r w:rsidRPr="009810EB">
              <w:rPr>
                <w:sz w:val="22"/>
              </w:rPr>
              <w:t xml:space="preserve">Students develop three questions relating to the Partition and the main historians. The questions are incorporated into a class quiz which </w:t>
            </w:r>
            <w:r w:rsidR="00EB6F60">
              <w:rPr>
                <w:sz w:val="22"/>
              </w:rPr>
              <w:t xml:space="preserve">all </w:t>
            </w:r>
            <w:r w:rsidRPr="009810EB">
              <w:rPr>
                <w:sz w:val="22"/>
              </w:rPr>
              <w:t>students then attempt.</w:t>
            </w:r>
          </w:p>
          <w:p w14:paraId="1BBEBD73" w14:textId="77777777" w:rsidR="00F54125" w:rsidRPr="009810EB" w:rsidRDefault="00F54125" w:rsidP="009810EB">
            <w:pPr>
              <w:numPr>
                <w:ilvl w:val="0"/>
                <w:numId w:val="12"/>
              </w:numPr>
              <w:ind w:left="360" w:hanging="360"/>
              <w:rPr>
                <w:sz w:val="22"/>
              </w:rPr>
            </w:pPr>
            <w:r w:rsidRPr="009810EB">
              <w:rPr>
                <w:sz w:val="22"/>
              </w:rPr>
              <w:t>Students review their predictions from earlier in the Case Study (prediction activity) and discuss the degree to which their views are represented in the interpretations under analysis.</w:t>
            </w:r>
          </w:p>
          <w:p w14:paraId="3B3C83C6" w14:textId="7F76A297" w:rsidR="00F54125" w:rsidRPr="00C60A10" w:rsidRDefault="00F54125" w:rsidP="009810EB">
            <w:pPr>
              <w:numPr>
                <w:ilvl w:val="0"/>
                <w:numId w:val="12"/>
              </w:numPr>
              <w:ind w:left="360" w:hanging="360"/>
              <w:rPr>
                <w:rFonts w:cs="Arial"/>
                <w:sz w:val="22"/>
              </w:rPr>
            </w:pPr>
            <w:r w:rsidRPr="009810EB">
              <w:rPr>
                <w:sz w:val="22"/>
              </w:rPr>
              <w:t>Students are given a reading brick with extracts from the historians outlined above (and others). Each student is assigned TWO historians to research/evaluate in relation to the key debates for this case study. Students share their findings as a class, using a digital table shared with all members.</w:t>
            </w:r>
          </w:p>
        </w:tc>
        <w:tc>
          <w:tcPr>
            <w:tcW w:w="3508" w:type="dxa"/>
            <w:tcMar>
              <w:top w:w="57" w:type="dxa"/>
              <w:left w:w="57" w:type="dxa"/>
              <w:bottom w:w="57" w:type="dxa"/>
              <w:right w:w="57" w:type="dxa"/>
            </w:tcMar>
          </w:tcPr>
          <w:p w14:paraId="1B981594" w14:textId="77777777" w:rsidR="0088436D" w:rsidRPr="00445E1F" w:rsidRDefault="0088436D" w:rsidP="005A2377">
            <w:pPr>
              <w:rPr>
                <w:rFonts w:cs="Arial"/>
                <w:i/>
                <w:sz w:val="22"/>
                <w:highlight w:val="yellow"/>
              </w:rPr>
            </w:pPr>
          </w:p>
        </w:tc>
      </w:tr>
    </w:tbl>
    <w:p w14:paraId="4630E5D7" w14:textId="204F34E5" w:rsidR="006B78EF" w:rsidRDefault="006B78EF" w:rsidP="00877EC5">
      <w:pPr>
        <w:spacing w:after="0"/>
        <w:rPr>
          <w:rFonts w:cs="Arial"/>
          <w:szCs w:val="24"/>
        </w:rPr>
      </w:pPr>
    </w:p>
    <w:tbl>
      <w:tblPr>
        <w:tblStyle w:val="TableGrid"/>
        <w:tblW w:w="15451" w:type="dxa"/>
        <w:tblInd w:w="108" w:type="dxa"/>
        <w:tblLook w:val="04A0" w:firstRow="1" w:lastRow="0" w:firstColumn="1" w:lastColumn="0" w:noHBand="0" w:noVBand="1"/>
        <w:tblCaption w:val="Unit reflection and evaluation table"/>
        <w:tblDescription w:val="Unit reflection and evaluation table used for unit registration and notes on the effectiveness of the unit"/>
      </w:tblPr>
      <w:tblGrid>
        <w:gridCol w:w="7881"/>
        <w:gridCol w:w="7570"/>
      </w:tblGrid>
      <w:tr w:rsidR="007A66BF" w14:paraId="09351838" w14:textId="77777777" w:rsidTr="007A66BF">
        <w:trPr>
          <w:trHeight w:val="1985"/>
        </w:trPr>
        <w:tc>
          <w:tcPr>
            <w:tcW w:w="7881" w:type="dxa"/>
          </w:tcPr>
          <w:p w14:paraId="04ABDAF6" w14:textId="77777777" w:rsidR="007A66BF" w:rsidRPr="00B06A61" w:rsidRDefault="007A66BF" w:rsidP="00163888">
            <w:pPr>
              <w:pStyle w:val="NoSpacing"/>
              <w:spacing w:before="60"/>
              <w:jc w:val="left"/>
              <w:rPr>
                <w:rFonts w:ascii="Arial" w:hAnsi="Arial" w:cs="Arial"/>
                <w:b/>
              </w:rPr>
            </w:pPr>
            <w:r w:rsidRPr="00B06A61">
              <w:rPr>
                <w:rFonts w:ascii="Arial" w:hAnsi="Arial" w:cs="Arial"/>
                <w:b/>
              </w:rPr>
              <w:t>Reflection</w:t>
            </w:r>
          </w:p>
        </w:tc>
        <w:tc>
          <w:tcPr>
            <w:tcW w:w="7570" w:type="dxa"/>
          </w:tcPr>
          <w:p w14:paraId="4FFBC804" w14:textId="77777777" w:rsidR="007A66BF" w:rsidRPr="00B06A61" w:rsidRDefault="007A66BF" w:rsidP="00163888">
            <w:pPr>
              <w:pStyle w:val="NoSpacing"/>
              <w:spacing w:before="60"/>
              <w:jc w:val="left"/>
              <w:rPr>
                <w:rFonts w:ascii="Arial" w:hAnsi="Arial" w:cs="Arial"/>
                <w:b/>
              </w:rPr>
            </w:pPr>
            <w:r w:rsidRPr="00B06A61">
              <w:rPr>
                <w:rFonts w:ascii="Arial" w:hAnsi="Arial" w:cs="Arial"/>
                <w:b/>
              </w:rPr>
              <w:t>Evaluation</w:t>
            </w:r>
          </w:p>
        </w:tc>
      </w:tr>
    </w:tbl>
    <w:p w14:paraId="01AA7DE1" w14:textId="77777777" w:rsidR="007A66BF" w:rsidRPr="004D0185" w:rsidRDefault="007A66BF">
      <w:pPr>
        <w:rPr>
          <w:rFonts w:cs="Arial"/>
          <w:szCs w:val="24"/>
        </w:rPr>
      </w:pPr>
    </w:p>
    <w:sectPr w:rsidR="007A66BF" w:rsidRPr="004D0185" w:rsidSect="004B3781">
      <w:footerReference w:type="default" r:id="rId17"/>
      <w:pgSz w:w="16838" w:h="11906" w:orient="landscape"/>
      <w:pgMar w:top="720" w:right="720" w:bottom="720" w:left="72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64485" w14:textId="77777777" w:rsidR="00B4774E" w:rsidRDefault="00B4774E" w:rsidP="003A1756">
      <w:pPr>
        <w:spacing w:after="0" w:line="240" w:lineRule="auto"/>
      </w:pPr>
      <w:r>
        <w:separator/>
      </w:r>
    </w:p>
  </w:endnote>
  <w:endnote w:type="continuationSeparator" w:id="0">
    <w:p w14:paraId="30664B22" w14:textId="77777777" w:rsidR="00B4774E" w:rsidRDefault="00B4774E" w:rsidP="003A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53533"/>
      <w:docPartObj>
        <w:docPartGallery w:val="Page Numbers (Bottom of Page)"/>
        <w:docPartUnique/>
      </w:docPartObj>
    </w:sdtPr>
    <w:sdtEndPr>
      <w:rPr>
        <w:noProof/>
      </w:rPr>
    </w:sdtEndPr>
    <w:sdtContent>
      <w:p w14:paraId="20E48455" w14:textId="77777777" w:rsidR="003A1756" w:rsidRDefault="003A1756">
        <w:pPr>
          <w:pStyle w:val="Footer"/>
          <w:jc w:val="right"/>
        </w:pPr>
        <w:r>
          <w:fldChar w:fldCharType="begin"/>
        </w:r>
        <w:r>
          <w:instrText xml:space="preserve"> PAGE   \* MERGEFORMAT </w:instrText>
        </w:r>
        <w:r>
          <w:fldChar w:fldCharType="separate"/>
        </w:r>
        <w:r w:rsidR="00877EC5">
          <w:rPr>
            <w:noProof/>
          </w:rPr>
          <w:t>1</w:t>
        </w:r>
        <w:r>
          <w:rPr>
            <w:noProof/>
          </w:rPr>
          <w:fldChar w:fldCharType="end"/>
        </w:r>
      </w:p>
    </w:sdtContent>
  </w:sdt>
  <w:p w14:paraId="79B5774F" w14:textId="77777777" w:rsidR="003A1756" w:rsidRDefault="003A1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E0CF7" w14:textId="77777777" w:rsidR="00B4774E" w:rsidRDefault="00B4774E" w:rsidP="003A1756">
      <w:pPr>
        <w:spacing w:after="0" w:line="240" w:lineRule="auto"/>
      </w:pPr>
      <w:r>
        <w:separator/>
      </w:r>
    </w:p>
  </w:footnote>
  <w:footnote w:type="continuationSeparator" w:id="0">
    <w:p w14:paraId="0849808C" w14:textId="77777777" w:rsidR="00B4774E" w:rsidRDefault="00B4774E" w:rsidP="003A1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4D02"/>
    <w:multiLevelType w:val="hybridMultilevel"/>
    <w:tmpl w:val="1B088836"/>
    <w:lvl w:ilvl="0" w:tplc="18B8A6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CB5A0A"/>
    <w:multiLevelType w:val="hybridMultilevel"/>
    <w:tmpl w:val="023E41B2"/>
    <w:lvl w:ilvl="0" w:tplc="04090001">
      <w:start w:val="1"/>
      <w:numFmt w:val="bullet"/>
      <w:lvlText w:val=""/>
      <w:lvlJc w:val="left"/>
      <w:pPr>
        <w:ind w:left="360" w:hanging="360"/>
      </w:pPr>
      <w:rPr>
        <w:rFonts w:ascii="Symbol" w:hAnsi="Symbol" w:hint="default"/>
      </w:rPr>
    </w:lvl>
    <w:lvl w:ilvl="1" w:tplc="18B8A6EA">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BC66DB"/>
    <w:multiLevelType w:val="hybridMultilevel"/>
    <w:tmpl w:val="68282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20B8F"/>
    <w:multiLevelType w:val="hybridMultilevel"/>
    <w:tmpl w:val="38821C3A"/>
    <w:lvl w:ilvl="0" w:tplc="338E25E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B2FF7"/>
    <w:multiLevelType w:val="multilevel"/>
    <w:tmpl w:val="8C2638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DFC21EF"/>
    <w:multiLevelType w:val="hybridMultilevel"/>
    <w:tmpl w:val="E832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85437"/>
    <w:multiLevelType w:val="hybridMultilevel"/>
    <w:tmpl w:val="2BAEFDE6"/>
    <w:lvl w:ilvl="0" w:tplc="18B8A6E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66415C"/>
    <w:multiLevelType w:val="hybridMultilevel"/>
    <w:tmpl w:val="54B6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C12EE6"/>
    <w:multiLevelType w:val="hybridMultilevel"/>
    <w:tmpl w:val="F930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950027"/>
    <w:multiLevelType w:val="hybridMultilevel"/>
    <w:tmpl w:val="1122A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C6D6495"/>
    <w:multiLevelType w:val="hybridMultilevel"/>
    <w:tmpl w:val="CFCA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9622D"/>
    <w:multiLevelType w:val="hybridMultilevel"/>
    <w:tmpl w:val="9B56A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CB08FF"/>
    <w:multiLevelType w:val="hybridMultilevel"/>
    <w:tmpl w:val="9084C06E"/>
    <w:lvl w:ilvl="0" w:tplc="04090001">
      <w:start w:val="1"/>
      <w:numFmt w:val="bullet"/>
      <w:lvlText w:val=""/>
      <w:lvlJc w:val="left"/>
      <w:pPr>
        <w:ind w:left="720" w:hanging="360"/>
      </w:pPr>
      <w:rPr>
        <w:rFonts w:ascii="Symbol" w:hAnsi="Symbol" w:hint="default"/>
      </w:rPr>
    </w:lvl>
    <w:lvl w:ilvl="1" w:tplc="18B8A6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DF7DA0"/>
    <w:multiLevelType w:val="hybridMultilevel"/>
    <w:tmpl w:val="57629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376048"/>
    <w:multiLevelType w:val="hybridMultilevel"/>
    <w:tmpl w:val="CC300872"/>
    <w:lvl w:ilvl="0" w:tplc="18B8A6EA">
      <w:start w:val="1"/>
      <w:numFmt w:val="bullet"/>
      <w:lvlText w:val=""/>
      <w:lvlJc w:val="left"/>
      <w:pPr>
        <w:ind w:left="720" w:hanging="360"/>
      </w:pPr>
      <w:rPr>
        <w:rFonts w:ascii="Symbol" w:hAnsi="Symbol" w:hint="default"/>
      </w:rPr>
    </w:lvl>
    <w:lvl w:ilvl="1" w:tplc="18B8A6E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8"/>
  </w:num>
  <w:num w:numId="5">
    <w:abstractNumId w:val="5"/>
  </w:num>
  <w:num w:numId="6">
    <w:abstractNumId w:val="7"/>
  </w:num>
  <w:num w:numId="7">
    <w:abstractNumId w:val="2"/>
  </w:num>
  <w:num w:numId="8">
    <w:abstractNumId w:val="10"/>
  </w:num>
  <w:num w:numId="9">
    <w:abstractNumId w:val="12"/>
  </w:num>
  <w:num w:numId="10">
    <w:abstractNumId w:val="14"/>
  </w:num>
  <w:num w:numId="11">
    <w:abstractNumId w:val="1"/>
  </w:num>
  <w:num w:numId="12">
    <w:abstractNumId w:val="4"/>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88"/>
    <w:rsid w:val="000073E2"/>
    <w:rsid w:val="00020590"/>
    <w:rsid w:val="00035F9B"/>
    <w:rsid w:val="00094F99"/>
    <w:rsid w:val="000A04C7"/>
    <w:rsid w:val="000F42D9"/>
    <w:rsid w:val="000F59C7"/>
    <w:rsid w:val="00127B20"/>
    <w:rsid w:val="00137757"/>
    <w:rsid w:val="001411D8"/>
    <w:rsid w:val="00164437"/>
    <w:rsid w:val="00185173"/>
    <w:rsid w:val="00201413"/>
    <w:rsid w:val="002F605A"/>
    <w:rsid w:val="003303D5"/>
    <w:rsid w:val="00361C22"/>
    <w:rsid w:val="0039721F"/>
    <w:rsid w:val="003A1756"/>
    <w:rsid w:val="003B632F"/>
    <w:rsid w:val="003C43E1"/>
    <w:rsid w:val="003C4BF1"/>
    <w:rsid w:val="0042384E"/>
    <w:rsid w:val="004242FF"/>
    <w:rsid w:val="00445E1F"/>
    <w:rsid w:val="004818CC"/>
    <w:rsid w:val="00485438"/>
    <w:rsid w:val="004A3F38"/>
    <w:rsid w:val="004B3781"/>
    <w:rsid w:val="004D0185"/>
    <w:rsid w:val="005065E4"/>
    <w:rsid w:val="00560173"/>
    <w:rsid w:val="005A2377"/>
    <w:rsid w:val="005A3DDC"/>
    <w:rsid w:val="005B6148"/>
    <w:rsid w:val="005D7CBA"/>
    <w:rsid w:val="005E0BDA"/>
    <w:rsid w:val="0061052C"/>
    <w:rsid w:val="00632D37"/>
    <w:rsid w:val="0064552D"/>
    <w:rsid w:val="00681626"/>
    <w:rsid w:val="006B78EF"/>
    <w:rsid w:val="006E1BAC"/>
    <w:rsid w:val="00736D22"/>
    <w:rsid w:val="00741BD1"/>
    <w:rsid w:val="0076176E"/>
    <w:rsid w:val="00775C80"/>
    <w:rsid w:val="0078217D"/>
    <w:rsid w:val="00792167"/>
    <w:rsid w:val="007A66BF"/>
    <w:rsid w:val="007B61F3"/>
    <w:rsid w:val="007D78B7"/>
    <w:rsid w:val="008028BB"/>
    <w:rsid w:val="00877EC5"/>
    <w:rsid w:val="0088436D"/>
    <w:rsid w:val="00893A12"/>
    <w:rsid w:val="00897514"/>
    <w:rsid w:val="008C3B16"/>
    <w:rsid w:val="008C4945"/>
    <w:rsid w:val="008F7575"/>
    <w:rsid w:val="00942FD3"/>
    <w:rsid w:val="009810EB"/>
    <w:rsid w:val="0098520A"/>
    <w:rsid w:val="009A3F0D"/>
    <w:rsid w:val="00A01E0F"/>
    <w:rsid w:val="00A22E10"/>
    <w:rsid w:val="00A33DF9"/>
    <w:rsid w:val="00A53627"/>
    <w:rsid w:val="00AC31E1"/>
    <w:rsid w:val="00AC7AE4"/>
    <w:rsid w:val="00AF0594"/>
    <w:rsid w:val="00B4774E"/>
    <w:rsid w:val="00B74F3A"/>
    <w:rsid w:val="00B95217"/>
    <w:rsid w:val="00BC1A49"/>
    <w:rsid w:val="00BE6AB9"/>
    <w:rsid w:val="00BF2A09"/>
    <w:rsid w:val="00C07680"/>
    <w:rsid w:val="00C117F2"/>
    <w:rsid w:val="00C20652"/>
    <w:rsid w:val="00C21EEC"/>
    <w:rsid w:val="00C60A10"/>
    <w:rsid w:val="00C71D36"/>
    <w:rsid w:val="00C725E9"/>
    <w:rsid w:val="00CB3135"/>
    <w:rsid w:val="00CB4967"/>
    <w:rsid w:val="00D46A77"/>
    <w:rsid w:val="00D96261"/>
    <w:rsid w:val="00DC6978"/>
    <w:rsid w:val="00DF58E1"/>
    <w:rsid w:val="00E12095"/>
    <w:rsid w:val="00E14036"/>
    <w:rsid w:val="00E621BA"/>
    <w:rsid w:val="00E85895"/>
    <w:rsid w:val="00EB2BA4"/>
    <w:rsid w:val="00EB5888"/>
    <w:rsid w:val="00EB5956"/>
    <w:rsid w:val="00EB6F60"/>
    <w:rsid w:val="00ED4286"/>
    <w:rsid w:val="00EE14F3"/>
    <w:rsid w:val="00F05254"/>
    <w:rsid w:val="00F13F3B"/>
    <w:rsid w:val="00F34892"/>
    <w:rsid w:val="00F54125"/>
    <w:rsid w:val="00F91847"/>
    <w:rsid w:val="00F93CA4"/>
    <w:rsid w:val="00FB7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7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paragraph" w:styleId="ListParagraph">
    <w:name w:val="List Paragraph"/>
    <w:basedOn w:val="Normal"/>
    <w:uiPriority w:val="34"/>
    <w:qFormat/>
    <w:rsid w:val="000073E2"/>
    <w:pPr>
      <w:ind w:left="720"/>
      <w:contextualSpacing/>
    </w:pPr>
  </w:style>
  <w:style w:type="character" w:styleId="Hyperlink">
    <w:name w:val="Hyperlink"/>
    <w:basedOn w:val="DefaultParagraphFont"/>
    <w:uiPriority w:val="99"/>
    <w:unhideWhenUsed/>
    <w:rsid w:val="00ED4286"/>
    <w:rPr>
      <w:color w:val="0000FF" w:themeColor="hyperlink"/>
      <w:u w:val="single"/>
    </w:rPr>
  </w:style>
  <w:style w:type="paragraph" w:styleId="BalloonText">
    <w:name w:val="Balloon Text"/>
    <w:basedOn w:val="Normal"/>
    <w:link w:val="BalloonTextChar"/>
    <w:uiPriority w:val="99"/>
    <w:semiHidden/>
    <w:unhideWhenUsed/>
    <w:rsid w:val="00645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2D"/>
    <w:rPr>
      <w:rFonts w:ascii="Tahoma" w:hAnsi="Tahoma" w:cs="Tahoma"/>
      <w:sz w:val="16"/>
      <w:szCs w:val="16"/>
    </w:rPr>
  </w:style>
  <w:style w:type="paragraph" w:styleId="NoSpacing">
    <w:name w:val="No Spacing"/>
    <w:uiPriority w:val="1"/>
    <w:qFormat/>
    <w:rsid w:val="007A66BF"/>
    <w:pPr>
      <w:spacing w:after="0" w:line="240" w:lineRule="auto"/>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paragraph" w:styleId="ListParagraph">
    <w:name w:val="List Paragraph"/>
    <w:basedOn w:val="Normal"/>
    <w:uiPriority w:val="34"/>
    <w:qFormat/>
    <w:rsid w:val="000073E2"/>
    <w:pPr>
      <w:ind w:left="720"/>
      <w:contextualSpacing/>
    </w:pPr>
  </w:style>
  <w:style w:type="character" w:styleId="Hyperlink">
    <w:name w:val="Hyperlink"/>
    <w:basedOn w:val="DefaultParagraphFont"/>
    <w:uiPriority w:val="99"/>
    <w:unhideWhenUsed/>
    <w:rsid w:val="00ED4286"/>
    <w:rPr>
      <w:color w:val="0000FF" w:themeColor="hyperlink"/>
      <w:u w:val="single"/>
    </w:rPr>
  </w:style>
  <w:style w:type="paragraph" w:styleId="BalloonText">
    <w:name w:val="Balloon Text"/>
    <w:basedOn w:val="Normal"/>
    <w:link w:val="BalloonTextChar"/>
    <w:uiPriority w:val="99"/>
    <w:semiHidden/>
    <w:unhideWhenUsed/>
    <w:rsid w:val="00645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52D"/>
    <w:rPr>
      <w:rFonts w:ascii="Tahoma" w:hAnsi="Tahoma" w:cs="Tahoma"/>
      <w:sz w:val="16"/>
      <w:szCs w:val="16"/>
    </w:rPr>
  </w:style>
  <w:style w:type="paragraph" w:styleId="NoSpacing">
    <w:name w:val="No Spacing"/>
    <w:uiPriority w:val="1"/>
    <w:qFormat/>
    <w:rsid w:val="007A66BF"/>
    <w:pPr>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26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partitionmuseum.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bc.co.uk/history/british/modern/partition1947_01.shtm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31028-A490-45D8-AD8E-568F2490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Wood</dc:creator>
  <cp:lastModifiedBy>Emmanuel Karayiannis</cp:lastModifiedBy>
  <cp:revision>66</cp:revision>
  <cp:lastPrinted>2017-04-28T00:37:00Z</cp:lastPrinted>
  <dcterms:created xsi:type="dcterms:W3CDTF">2016-10-18T00:41:00Z</dcterms:created>
  <dcterms:modified xsi:type="dcterms:W3CDTF">2017-05-11T05:08:00Z</dcterms:modified>
</cp:coreProperties>
</file>