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5F0790">
      <w:pPr>
        <w:pStyle w:val="Heading1"/>
        <w:jc w:val="center"/>
      </w:pPr>
      <w:bookmarkStart w:id="0" w:name="_GoBack"/>
      <w:bookmarkEnd w:id="0"/>
      <w:r>
        <w:t xml:space="preserve">Sample Scope and Sequence: </w:t>
      </w:r>
      <w:r w:rsidR="00404D59">
        <w:t>English Extension 1</w:t>
      </w:r>
      <w:r w:rsidR="003C1E54" w:rsidRPr="003C1E54">
        <w:t xml:space="preserve"> – Year</w:t>
      </w:r>
      <w:r w:rsidR="00404D59">
        <w:t xml:space="preserve"> 12</w:t>
      </w:r>
      <w:r w:rsidR="000A7165">
        <w:t xml:space="preserve"> </w:t>
      </w:r>
    </w:p>
    <w:p w:rsidR="00181EE3" w:rsidRPr="00181EE3" w:rsidRDefault="00181EE3" w:rsidP="00181EE3">
      <w:pPr>
        <w:jc w:val="center"/>
        <w:rPr>
          <w:b/>
          <w:i/>
          <w:sz w:val="20"/>
          <w:szCs w:val="20"/>
        </w:rPr>
      </w:pPr>
      <w:r>
        <w:rPr>
          <w:b/>
          <w:i/>
          <w:sz w:val="20"/>
          <w:szCs w:val="20"/>
        </w:rPr>
        <w:t>Sample for implementation for Year 12 from Term 4, 2018</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698"/>
        <w:gridCol w:w="1269"/>
        <w:gridCol w:w="1269"/>
        <w:gridCol w:w="1269"/>
        <w:gridCol w:w="1270"/>
        <w:gridCol w:w="1270"/>
        <w:gridCol w:w="1270"/>
        <w:gridCol w:w="1275"/>
        <w:gridCol w:w="1260"/>
        <w:gridCol w:w="10"/>
        <w:gridCol w:w="1270"/>
        <w:gridCol w:w="1270"/>
      </w:tblGrid>
      <w:tr w:rsidR="00F02BC4" w:rsidRPr="005F0790" w:rsidTr="00BB191F">
        <w:trPr>
          <w:cantSplit/>
          <w:tblHeader/>
        </w:trPr>
        <w:tc>
          <w:tcPr>
            <w:tcW w:w="2698" w:type="dxa"/>
            <w:shd w:val="clear" w:color="auto" w:fill="D9D9D9" w:themeFill="background1" w:themeFillShade="D9"/>
            <w:tcMar>
              <w:top w:w="57" w:type="dxa"/>
              <w:left w:w="57" w:type="dxa"/>
              <w:bottom w:w="57" w:type="dxa"/>
              <w:right w:w="57" w:type="dxa"/>
            </w:tcMar>
          </w:tcPr>
          <w:p w:rsidR="00F02BC4" w:rsidRPr="005F0790" w:rsidRDefault="00F02BC4" w:rsidP="005F0790">
            <w:pPr>
              <w:jc w:val="center"/>
              <w:rPr>
                <w:b/>
                <w:sz w:val="22"/>
              </w:rPr>
            </w:pPr>
            <w:r w:rsidRPr="005F0790">
              <w:rPr>
                <w:b/>
                <w:sz w:val="22"/>
              </w:rPr>
              <w:t>Term 4</w:t>
            </w:r>
          </w:p>
        </w:tc>
        <w:tc>
          <w:tcPr>
            <w:tcW w:w="1269"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w:t>
            </w:r>
          </w:p>
        </w:tc>
        <w:tc>
          <w:tcPr>
            <w:tcW w:w="1269"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2</w:t>
            </w:r>
          </w:p>
        </w:tc>
        <w:tc>
          <w:tcPr>
            <w:tcW w:w="1269"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3</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4</w:t>
            </w:r>
          </w:p>
        </w:tc>
        <w:tc>
          <w:tcPr>
            <w:tcW w:w="1270" w:type="dxa"/>
            <w:tcMar>
              <w:top w:w="57" w:type="dxa"/>
              <w:left w:w="57" w:type="dxa"/>
              <w:bottom w:w="57" w:type="dxa"/>
              <w:right w:w="57" w:type="dxa"/>
            </w:tcMar>
          </w:tcPr>
          <w:p w:rsidR="00F02BC4" w:rsidRPr="005F0790" w:rsidRDefault="00F02BC4" w:rsidP="005F0790">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6</w:t>
            </w:r>
          </w:p>
        </w:tc>
        <w:tc>
          <w:tcPr>
            <w:tcW w:w="1275"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7</w:t>
            </w:r>
          </w:p>
        </w:tc>
        <w:tc>
          <w:tcPr>
            <w:tcW w:w="1270" w:type="dxa"/>
            <w:gridSpan w:val="2"/>
            <w:tcMar>
              <w:top w:w="57" w:type="dxa"/>
              <w:left w:w="57" w:type="dxa"/>
              <w:bottom w:w="57" w:type="dxa"/>
              <w:right w:w="57" w:type="dxa"/>
            </w:tcMar>
          </w:tcPr>
          <w:p w:rsidR="00F02BC4" w:rsidRPr="005F0790" w:rsidRDefault="00F02BC4" w:rsidP="005F0790">
            <w:pPr>
              <w:jc w:val="center"/>
              <w:rPr>
                <w:b/>
                <w:sz w:val="22"/>
              </w:rPr>
            </w:pPr>
            <w:r w:rsidRPr="005F0790">
              <w:rPr>
                <w:b/>
                <w:sz w:val="22"/>
              </w:rPr>
              <w:t>Week 8</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9</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10</w:t>
            </w:r>
          </w:p>
        </w:tc>
      </w:tr>
      <w:tr w:rsidR="00426A0C" w:rsidRPr="005F0790" w:rsidTr="00C11751">
        <w:trPr>
          <w:cantSplit/>
        </w:trPr>
        <w:tc>
          <w:tcPr>
            <w:tcW w:w="2698" w:type="dxa"/>
            <w:tcMar>
              <w:top w:w="57" w:type="dxa"/>
              <w:left w:w="57" w:type="dxa"/>
              <w:bottom w:w="57" w:type="dxa"/>
              <w:right w:w="57" w:type="dxa"/>
            </w:tcMar>
          </w:tcPr>
          <w:p w:rsidR="00426A0C" w:rsidRPr="00BB191F" w:rsidRDefault="00426A0C" w:rsidP="005F0790">
            <w:pPr>
              <w:rPr>
                <w:i/>
                <w:sz w:val="20"/>
                <w:szCs w:val="20"/>
              </w:rPr>
            </w:pPr>
            <w:r w:rsidRPr="00BB191F">
              <w:rPr>
                <w:i/>
                <w:sz w:val="20"/>
                <w:szCs w:val="20"/>
              </w:rPr>
              <w:t>Literary Worlds</w:t>
            </w:r>
          </w:p>
          <w:p w:rsidR="00426A0C" w:rsidRPr="00BB191F" w:rsidRDefault="008E5800" w:rsidP="00426A0C">
            <w:pPr>
              <w:rPr>
                <w:sz w:val="20"/>
                <w:szCs w:val="20"/>
              </w:rPr>
            </w:pPr>
            <w:r w:rsidRPr="00BB191F">
              <w:rPr>
                <w:sz w:val="20"/>
                <w:szCs w:val="20"/>
              </w:rPr>
              <w:t>Common module (15–20</w:t>
            </w:r>
            <w:r w:rsidR="00426A0C" w:rsidRPr="00BB191F">
              <w:rPr>
                <w:sz w:val="20"/>
                <w:szCs w:val="20"/>
              </w:rPr>
              <w:t xml:space="preserve"> hours)</w:t>
            </w:r>
          </w:p>
        </w:tc>
        <w:tc>
          <w:tcPr>
            <w:tcW w:w="10152" w:type="dxa"/>
            <w:gridSpan w:val="8"/>
            <w:tcMar>
              <w:top w:w="57" w:type="dxa"/>
              <w:left w:w="57" w:type="dxa"/>
              <w:bottom w:w="57" w:type="dxa"/>
              <w:right w:w="57" w:type="dxa"/>
            </w:tcMar>
          </w:tcPr>
          <w:p w:rsidR="00426A0C" w:rsidRPr="00BB191F" w:rsidRDefault="00426A0C" w:rsidP="00426A0C">
            <w:pPr>
              <w:rPr>
                <w:rFonts w:cs="Arial"/>
                <w:sz w:val="20"/>
                <w:szCs w:val="20"/>
                <w:highlight w:val="yellow"/>
              </w:rPr>
            </w:pPr>
            <w:r w:rsidRPr="00BB191F">
              <w:rPr>
                <w:rFonts w:cs="Arial"/>
                <w:color w:val="000000"/>
                <w:sz w:val="20"/>
                <w:szCs w:val="20"/>
                <w:shd w:val="clear" w:color="auto" w:fill="FFFFFF"/>
              </w:rPr>
              <w:t>Students explore, investigate, experiment with and evaluate the ways texts represent and illuminate the complexity of individual and collective lives in literary worlds.</w:t>
            </w:r>
            <w:r w:rsidRPr="00BB191F">
              <w:rPr>
                <w:rStyle w:val="apple-converted-space"/>
                <w:rFonts w:cs="Arial"/>
                <w:color w:val="000000"/>
                <w:sz w:val="20"/>
                <w:szCs w:val="20"/>
                <w:shd w:val="clear" w:color="auto" w:fill="FFFFFF"/>
              </w:rPr>
              <w:t> </w:t>
            </w:r>
            <w:r w:rsidRPr="00BB191F">
              <w:rPr>
                <w:rFonts w:cs="Arial"/>
                <w:color w:val="000000"/>
                <w:sz w:val="20"/>
                <w:szCs w:val="20"/>
                <w:shd w:val="clear" w:color="auto" w:fill="FFFFFF"/>
              </w:rPr>
              <w:t>They deepen their understanding of how texts construct private, public and imaginary worlds that can explore new horizons and offer new insights. </w:t>
            </w:r>
          </w:p>
        </w:tc>
        <w:tc>
          <w:tcPr>
            <w:tcW w:w="2550" w:type="dxa"/>
            <w:gridSpan w:val="3"/>
          </w:tcPr>
          <w:p w:rsidR="00426A0C" w:rsidRPr="00BB191F" w:rsidRDefault="00426A0C" w:rsidP="00426A0C">
            <w:pPr>
              <w:rPr>
                <w:rFonts w:cs="Arial"/>
                <w:sz w:val="20"/>
                <w:szCs w:val="20"/>
                <w:highlight w:val="yellow"/>
              </w:rPr>
            </w:pPr>
            <w:r w:rsidRPr="00BB191F">
              <w:rPr>
                <w:rFonts w:cs="Arial"/>
                <w:sz w:val="20"/>
                <w:szCs w:val="20"/>
              </w:rPr>
              <w:t xml:space="preserve">Elective: </w:t>
            </w:r>
            <w:r w:rsidRPr="00BB191F">
              <w:rPr>
                <w:rFonts w:cs="Arial"/>
                <w:i/>
                <w:sz w:val="20"/>
                <w:szCs w:val="20"/>
              </w:rPr>
              <w:t>Literary Homelands</w:t>
            </w:r>
            <w:r w:rsidR="008E5800" w:rsidRPr="00BB191F">
              <w:rPr>
                <w:rFonts w:cs="Arial"/>
                <w:i/>
                <w:sz w:val="20"/>
                <w:szCs w:val="20"/>
              </w:rPr>
              <w:t xml:space="preserve"> </w:t>
            </w:r>
            <w:r w:rsidR="008E5800" w:rsidRPr="00BB191F">
              <w:rPr>
                <w:rFonts w:cs="Arial"/>
                <w:sz w:val="20"/>
                <w:szCs w:val="20"/>
              </w:rPr>
              <w:t>(40–</w:t>
            </w:r>
            <w:r w:rsidRPr="00BB191F">
              <w:rPr>
                <w:rFonts w:cs="Arial"/>
                <w:sz w:val="20"/>
                <w:szCs w:val="20"/>
              </w:rPr>
              <w:t>45 hours)</w:t>
            </w:r>
          </w:p>
        </w:tc>
      </w:tr>
      <w:tr w:rsidR="00426A0C" w:rsidRPr="005F0790" w:rsidTr="00AB04F4">
        <w:trPr>
          <w:cantSplit/>
        </w:trPr>
        <w:tc>
          <w:tcPr>
            <w:tcW w:w="2698" w:type="dxa"/>
            <w:tcMar>
              <w:top w:w="57" w:type="dxa"/>
              <w:left w:w="57" w:type="dxa"/>
              <w:bottom w:w="57" w:type="dxa"/>
              <w:right w:w="57" w:type="dxa"/>
            </w:tcMar>
          </w:tcPr>
          <w:p w:rsidR="00426A0C" w:rsidRPr="00BB191F" w:rsidRDefault="008E5800" w:rsidP="00404D59">
            <w:pPr>
              <w:rPr>
                <w:i/>
                <w:sz w:val="20"/>
                <w:szCs w:val="20"/>
              </w:rPr>
            </w:pPr>
            <w:r w:rsidRPr="00BB191F">
              <w:rPr>
                <w:sz w:val="20"/>
                <w:szCs w:val="20"/>
              </w:rPr>
              <w:t>Syllabus o</w:t>
            </w:r>
            <w:r w:rsidR="00426A0C" w:rsidRPr="00BB191F">
              <w:rPr>
                <w:sz w:val="20"/>
                <w:szCs w:val="20"/>
              </w:rPr>
              <w:t xml:space="preserve">utcomes </w:t>
            </w:r>
          </w:p>
        </w:tc>
        <w:tc>
          <w:tcPr>
            <w:tcW w:w="10152" w:type="dxa"/>
            <w:gridSpan w:val="8"/>
            <w:tcMar>
              <w:top w:w="57" w:type="dxa"/>
              <w:left w:w="57" w:type="dxa"/>
              <w:bottom w:w="57" w:type="dxa"/>
              <w:right w:w="57" w:type="dxa"/>
            </w:tcMar>
          </w:tcPr>
          <w:p w:rsidR="00426A0C" w:rsidRPr="00BB191F" w:rsidRDefault="00426A0C" w:rsidP="005F0790">
            <w:pPr>
              <w:rPr>
                <w:rFonts w:cs="Arial"/>
                <w:sz w:val="20"/>
                <w:szCs w:val="20"/>
                <w:highlight w:val="yellow"/>
              </w:rPr>
            </w:pPr>
            <w:r w:rsidRPr="00BB191F">
              <w:rPr>
                <w:rFonts w:cs="Arial"/>
                <w:sz w:val="20"/>
                <w:szCs w:val="20"/>
              </w:rPr>
              <w:t>EE12-1, EE12-2, EE12-3, EE12-4, EE12-5</w:t>
            </w:r>
          </w:p>
        </w:tc>
        <w:tc>
          <w:tcPr>
            <w:tcW w:w="2550" w:type="dxa"/>
            <w:gridSpan w:val="3"/>
          </w:tcPr>
          <w:p w:rsidR="00426A0C" w:rsidRPr="00BB191F" w:rsidRDefault="00426A0C" w:rsidP="00547C4F">
            <w:pPr>
              <w:rPr>
                <w:rFonts w:cs="Arial"/>
                <w:sz w:val="20"/>
                <w:szCs w:val="20"/>
                <w:highlight w:val="yellow"/>
              </w:rPr>
            </w:pPr>
            <w:r w:rsidRPr="00BB191F">
              <w:rPr>
                <w:rFonts w:cs="Arial"/>
                <w:sz w:val="20"/>
                <w:szCs w:val="20"/>
              </w:rPr>
              <w:t>EE12-1, EE12-2, EE12-3, EE12-4, EE12-5</w:t>
            </w:r>
          </w:p>
        </w:tc>
      </w:tr>
      <w:tr w:rsidR="00426A0C" w:rsidRPr="005F0790" w:rsidTr="004B3DF8">
        <w:trPr>
          <w:cantSplit/>
        </w:trPr>
        <w:tc>
          <w:tcPr>
            <w:tcW w:w="2698" w:type="dxa"/>
            <w:tcMar>
              <w:top w:w="57" w:type="dxa"/>
              <w:left w:w="57" w:type="dxa"/>
              <w:bottom w:w="57" w:type="dxa"/>
              <w:right w:w="57" w:type="dxa"/>
            </w:tcMar>
          </w:tcPr>
          <w:p w:rsidR="00426A0C" w:rsidRPr="00BB191F" w:rsidRDefault="00426A0C" w:rsidP="005F0790">
            <w:pPr>
              <w:rPr>
                <w:sz w:val="20"/>
                <w:szCs w:val="20"/>
              </w:rPr>
            </w:pPr>
            <w:r w:rsidRPr="00BB191F">
              <w:rPr>
                <w:sz w:val="20"/>
                <w:szCs w:val="20"/>
              </w:rPr>
              <w:t>Course requirements</w:t>
            </w:r>
          </w:p>
        </w:tc>
        <w:tc>
          <w:tcPr>
            <w:tcW w:w="8892" w:type="dxa"/>
            <w:gridSpan w:val="7"/>
            <w:tcMar>
              <w:top w:w="57" w:type="dxa"/>
              <w:left w:w="57" w:type="dxa"/>
              <w:bottom w:w="57" w:type="dxa"/>
              <w:right w:w="57" w:type="dxa"/>
            </w:tcMar>
          </w:tcPr>
          <w:p w:rsidR="00426A0C" w:rsidRPr="00BB191F" w:rsidRDefault="00426A0C" w:rsidP="005F0790">
            <w:pPr>
              <w:rPr>
                <w:rFonts w:cs="Arial"/>
                <w:sz w:val="20"/>
                <w:szCs w:val="20"/>
                <w:highlight w:val="yellow"/>
              </w:rPr>
            </w:pPr>
            <w:r w:rsidRPr="00BB191F">
              <w:rPr>
                <w:rFonts w:cs="Arial"/>
                <w:sz w:val="20"/>
                <w:szCs w:val="20"/>
              </w:rPr>
              <w:t>A range of short texts across various modes</w:t>
            </w:r>
          </w:p>
        </w:tc>
        <w:tc>
          <w:tcPr>
            <w:tcW w:w="3810" w:type="dxa"/>
            <w:gridSpan w:val="4"/>
          </w:tcPr>
          <w:p w:rsidR="00426A0C" w:rsidRPr="00BB191F" w:rsidRDefault="00426A0C" w:rsidP="005F0790">
            <w:pPr>
              <w:rPr>
                <w:rFonts w:cs="Arial"/>
                <w:sz w:val="20"/>
                <w:szCs w:val="20"/>
                <w:highlight w:val="yellow"/>
              </w:rPr>
            </w:pPr>
            <w:r w:rsidRPr="00BB191F">
              <w:rPr>
                <w:rFonts w:cs="Arial"/>
                <w:sz w:val="20"/>
                <w:szCs w:val="20"/>
              </w:rPr>
              <w:t xml:space="preserve">Prescribed Text </w:t>
            </w:r>
          </w:p>
        </w:tc>
      </w:tr>
    </w:tbl>
    <w:p w:rsidR="00E44BAA" w:rsidRDefault="00E44BAA"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1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BB191F">
        <w:trPr>
          <w:cantSplit/>
          <w:tblHeader/>
        </w:trPr>
        <w:tc>
          <w:tcPr>
            <w:tcW w:w="2700" w:type="dxa"/>
            <w:shd w:val="clear" w:color="auto" w:fill="D9D9D9" w:themeFill="background1" w:themeFillShade="D9"/>
            <w:tcMar>
              <w:top w:w="57" w:type="dxa"/>
              <w:left w:w="57" w:type="dxa"/>
              <w:bottom w:w="57" w:type="dxa"/>
              <w:right w:w="57" w:type="dxa"/>
            </w:tcMar>
          </w:tcPr>
          <w:p w:rsidR="005F0790" w:rsidRPr="005F0790" w:rsidRDefault="000E2246" w:rsidP="00E66717">
            <w:pPr>
              <w:jc w:val="center"/>
              <w:rPr>
                <w:b/>
                <w:sz w:val="22"/>
              </w:rPr>
            </w:pPr>
            <w:r>
              <w:rPr>
                <w:b/>
                <w:sz w:val="22"/>
              </w:rPr>
              <w:t>Term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3C6EB4" w:rsidRPr="005F0790" w:rsidTr="003C6EB4">
        <w:trPr>
          <w:cantSplit/>
        </w:trPr>
        <w:tc>
          <w:tcPr>
            <w:tcW w:w="2700" w:type="dxa"/>
            <w:tcMar>
              <w:top w:w="57" w:type="dxa"/>
              <w:left w:w="57" w:type="dxa"/>
              <w:bottom w:w="57" w:type="dxa"/>
              <w:right w:w="57" w:type="dxa"/>
            </w:tcMar>
          </w:tcPr>
          <w:p w:rsidR="003C6EB4" w:rsidRPr="00BB191F" w:rsidRDefault="003C6EB4" w:rsidP="003C6EB4">
            <w:pPr>
              <w:rPr>
                <w:i/>
                <w:sz w:val="20"/>
                <w:szCs w:val="20"/>
              </w:rPr>
            </w:pPr>
            <w:r w:rsidRPr="00BB191F">
              <w:rPr>
                <w:i/>
                <w:sz w:val="20"/>
                <w:szCs w:val="20"/>
              </w:rPr>
              <w:t>Literary Worlds</w:t>
            </w:r>
          </w:p>
          <w:p w:rsidR="003C6EB4" w:rsidRPr="00BB191F" w:rsidRDefault="003C6EB4" w:rsidP="003C6EB4">
            <w:pPr>
              <w:rPr>
                <w:sz w:val="20"/>
                <w:szCs w:val="20"/>
              </w:rPr>
            </w:pPr>
            <w:r w:rsidRPr="00BB191F">
              <w:rPr>
                <w:sz w:val="20"/>
                <w:szCs w:val="20"/>
              </w:rPr>
              <w:t>Elective continued</w:t>
            </w:r>
          </w:p>
          <w:p w:rsidR="003C6EB4" w:rsidRPr="00BB191F" w:rsidRDefault="003C6EB4" w:rsidP="00E66717">
            <w:pPr>
              <w:rPr>
                <w:sz w:val="20"/>
                <w:szCs w:val="20"/>
              </w:rPr>
            </w:pPr>
          </w:p>
        </w:tc>
        <w:tc>
          <w:tcPr>
            <w:tcW w:w="12700" w:type="dxa"/>
            <w:gridSpan w:val="10"/>
            <w:tcMar>
              <w:top w:w="57" w:type="dxa"/>
              <w:left w:w="57" w:type="dxa"/>
              <w:bottom w:w="57" w:type="dxa"/>
              <w:right w:w="57" w:type="dxa"/>
            </w:tcMar>
          </w:tcPr>
          <w:p w:rsidR="003C6EB4" w:rsidRPr="00BB191F" w:rsidRDefault="003C6EB4" w:rsidP="003C6EB4">
            <w:pPr>
              <w:rPr>
                <w:rFonts w:cs="Arial"/>
                <w:i/>
                <w:sz w:val="20"/>
                <w:szCs w:val="20"/>
              </w:rPr>
            </w:pPr>
            <w:r w:rsidRPr="00BB191F">
              <w:rPr>
                <w:rFonts w:cs="Arial"/>
                <w:i/>
                <w:sz w:val="20"/>
                <w:szCs w:val="20"/>
              </w:rPr>
              <w:t>Literary Homelands</w:t>
            </w:r>
          </w:p>
          <w:p w:rsidR="003C6EB4" w:rsidRPr="00BB191F" w:rsidRDefault="003C6EB4" w:rsidP="00E66717">
            <w:pPr>
              <w:rPr>
                <w:rFonts w:cs="Arial"/>
                <w:sz w:val="20"/>
                <w:szCs w:val="20"/>
                <w:highlight w:val="yellow"/>
              </w:rPr>
            </w:pPr>
            <w:r w:rsidRPr="00BB191F">
              <w:rPr>
                <w:sz w:val="20"/>
                <w:szCs w:val="20"/>
              </w:rPr>
              <w:t>Students explore and examine textual representations of how individuals and communities express connections to notions of ‘homelands’, place and culture, as well as connections with others in an increasingly complex world.</w:t>
            </w:r>
          </w:p>
        </w:tc>
      </w:tr>
      <w:tr w:rsidR="003C6EB4" w:rsidRPr="005F0790" w:rsidTr="007E024D">
        <w:trPr>
          <w:cantSplit/>
        </w:trPr>
        <w:tc>
          <w:tcPr>
            <w:tcW w:w="2700" w:type="dxa"/>
            <w:tcMar>
              <w:top w:w="57" w:type="dxa"/>
              <w:left w:w="57" w:type="dxa"/>
              <w:bottom w:w="57" w:type="dxa"/>
              <w:right w:w="57" w:type="dxa"/>
            </w:tcMar>
          </w:tcPr>
          <w:p w:rsidR="003C6EB4" w:rsidRPr="00BB191F" w:rsidRDefault="008E5800" w:rsidP="008E5800">
            <w:pPr>
              <w:rPr>
                <w:i/>
                <w:sz w:val="20"/>
                <w:szCs w:val="20"/>
              </w:rPr>
            </w:pPr>
            <w:r w:rsidRPr="00BB191F">
              <w:rPr>
                <w:sz w:val="20"/>
                <w:szCs w:val="20"/>
              </w:rPr>
              <w:t>Syllabus o</w:t>
            </w:r>
            <w:r w:rsidR="003C6EB4" w:rsidRPr="00BB191F">
              <w:rPr>
                <w:sz w:val="20"/>
                <w:szCs w:val="20"/>
              </w:rPr>
              <w:t>utcomes</w:t>
            </w:r>
          </w:p>
        </w:tc>
        <w:tc>
          <w:tcPr>
            <w:tcW w:w="12700" w:type="dxa"/>
            <w:gridSpan w:val="10"/>
            <w:tcMar>
              <w:top w:w="57" w:type="dxa"/>
              <w:left w:w="57" w:type="dxa"/>
              <w:bottom w:w="57" w:type="dxa"/>
              <w:right w:w="57" w:type="dxa"/>
            </w:tcMar>
          </w:tcPr>
          <w:p w:rsidR="003C6EB4" w:rsidRPr="00BB191F" w:rsidRDefault="003C6EB4" w:rsidP="00E66717">
            <w:pPr>
              <w:rPr>
                <w:rFonts w:cs="Arial"/>
                <w:sz w:val="20"/>
                <w:szCs w:val="20"/>
                <w:highlight w:val="yellow"/>
              </w:rPr>
            </w:pPr>
            <w:r w:rsidRPr="00BB191F">
              <w:rPr>
                <w:rFonts w:cs="Arial"/>
                <w:sz w:val="20"/>
                <w:szCs w:val="20"/>
              </w:rPr>
              <w:t>EE12-1, EE12-2, EE12-3, EE12-4, EE12-5</w:t>
            </w:r>
          </w:p>
        </w:tc>
      </w:tr>
      <w:tr w:rsidR="003C6EB4" w:rsidRPr="005F0790" w:rsidTr="002217D7">
        <w:trPr>
          <w:cantSplit/>
        </w:trPr>
        <w:tc>
          <w:tcPr>
            <w:tcW w:w="2700" w:type="dxa"/>
            <w:tcMar>
              <w:top w:w="57" w:type="dxa"/>
              <w:left w:w="57" w:type="dxa"/>
              <w:bottom w:w="57" w:type="dxa"/>
              <w:right w:w="57" w:type="dxa"/>
            </w:tcMar>
          </w:tcPr>
          <w:p w:rsidR="003C6EB4" w:rsidRPr="00BB191F" w:rsidRDefault="003C6EB4" w:rsidP="00E66717">
            <w:pPr>
              <w:rPr>
                <w:sz w:val="20"/>
                <w:szCs w:val="20"/>
              </w:rPr>
            </w:pPr>
            <w:r w:rsidRPr="00BB191F">
              <w:rPr>
                <w:sz w:val="20"/>
                <w:szCs w:val="20"/>
              </w:rPr>
              <w:t>Course requirements</w:t>
            </w:r>
          </w:p>
        </w:tc>
        <w:tc>
          <w:tcPr>
            <w:tcW w:w="12700" w:type="dxa"/>
            <w:gridSpan w:val="10"/>
            <w:tcMar>
              <w:top w:w="57" w:type="dxa"/>
              <w:left w:w="57" w:type="dxa"/>
              <w:bottom w:w="57" w:type="dxa"/>
              <w:right w:w="57" w:type="dxa"/>
            </w:tcMar>
          </w:tcPr>
          <w:p w:rsidR="003C6EB4" w:rsidRPr="00BB191F" w:rsidRDefault="003C6EB4" w:rsidP="00E66717">
            <w:pPr>
              <w:rPr>
                <w:rFonts w:cs="Arial"/>
                <w:sz w:val="20"/>
                <w:szCs w:val="20"/>
                <w:highlight w:val="yellow"/>
              </w:rPr>
            </w:pPr>
            <w:r w:rsidRPr="00BB191F">
              <w:rPr>
                <w:rFonts w:cs="Arial"/>
                <w:sz w:val="20"/>
                <w:szCs w:val="20"/>
              </w:rPr>
              <w:t xml:space="preserve">Prescribed texts and related material </w:t>
            </w:r>
          </w:p>
        </w:tc>
      </w:tr>
    </w:tbl>
    <w:p w:rsidR="005F0790" w:rsidRDefault="005F0790"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2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BB191F">
        <w:trPr>
          <w:cantSplit/>
          <w:tblHeader/>
        </w:trPr>
        <w:tc>
          <w:tcPr>
            <w:tcW w:w="2700" w:type="dxa"/>
            <w:shd w:val="clear" w:color="auto" w:fill="D9D9D9" w:themeFill="background1" w:themeFillShade="D9"/>
            <w:tcMar>
              <w:top w:w="57" w:type="dxa"/>
              <w:left w:w="57" w:type="dxa"/>
              <w:bottom w:w="57" w:type="dxa"/>
              <w:right w:w="57" w:type="dxa"/>
            </w:tcMar>
          </w:tcPr>
          <w:p w:rsidR="005F0790" w:rsidRPr="005F0790" w:rsidRDefault="000E2246" w:rsidP="00E66717">
            <w:pPr>
              <w:jc w:val="center"/>
              <w:rPr>
                <w:b/>
                <w:sz w:val="22"/>
              </w:rPr>
            </w:pPr>
            <w:r>
              <w:rPr>
                <w:b/>
                <w:sz w:val="22"/>
              </w:rPr>
              <w:t>Term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3C6EB4" w:rsidRPr="005F0790" w:rsidTr="003C6EB4">
        <w:trPr>
          <w:cantSplit/>
        </w:trPr>
        <w:tc>
          <w:tcPr>
            <w:tcW w:w="2700" w:type="dxa"/>
            <w:tcMar>
              <w:top w:w="57" w:type="dxa"/>
              <w:left w:w="57" w:type="dxa"/>
              <w:bottom w:w="57" w:type="dxa"/>
              <w:right w:w="57" w:type="dxa"/>
            </w:tcMar>
          </w:tcPr>
          <w:p w:rsidR="003C6EB4" w:rsidRPr="00BB191F" w:rsidRDefault="003C6EB4" w:rsidP="003C6EB4">
            <w:pPr>
              <w:rPr>
                <w:i/>
                <w:sz w:val="20"/>
                <w:szCs w:val="20"/>
              </w:rPr>
            </w:pPr>
            <w:r w:rsidRPr="00BB191F">
              <w:rPr>
                <w:i/>
                <w:sz w:val="20"/>
                <w:szCs w:val="20"/>
              </w:rPr>
              <w:t>Literary Worlds</w:t>
            </w:r>
          </w:p>
          <w:p w:rsidR="003C6EB4" w:rsidRPr="00BB191F" w:rsidRDefault="003C6EB4" w:rsidP="003C6EB4">
            <w:pPr>
              <w:rPr>
                <w:sz w:val="20"/>
                <w:szCs w:val="20"/>
              </w:rPr>
            </w:pPr>
            <w:r w:rsidRPr="00BB191F">
              <w:rPr>
                <w:sz w:val="20"/>
                <w:szCs w:val="20"/>
              </w:rPr>
              <w:t>Elective continued</w:t>
            </w:r>
          </w:p>
        </w:tc>
        <w:tc>
          <w:tcPr>
            <w:tcW w:w="12700" w:type="dxa"/>
            <w:gridSpan w:val="10"/>
            <w:tcMar>
              <w:top w:w="57" w:type="dxa"/>
              <w:left w:w="57" w:type="dxa"/>
              <w:bottom w:w="57" w:type="dxa"/>
              <w:right w:w="57" w:type="dxa"/>
            </w:tcMar>
          </w:tcPr>
          <w:p w:rsidR="003C6EB4" w:rsidRPr="00BB191F" w:rsidRDefault="003C6EB4" w:rsidP="003C6EB4">
            <w:pPr>
              <w:rPr>
                <w:rFonts w:cs="Arial"/>
                <w:i/>
                <w:sz w:val="20"/>
                <w:szCs w:val="20"/>
              </w:rPr>
            </w:pPr>
            <w:r w:rsidRPr="00BB191F">
              <w:rPr>
                <w:rFonts w:cs="Arial"/>
                <w:i/>
                <w:sz w:val="20"/>
                <w:szCs w:val="20"/>
              </w:rPr>
              <w:t>Literary Homelands</w:t>
            </w:r>
          </w:p>
          <w:p w:rsidR="003C6EB4" w:rsidRPr="00BB191F" w:rsidRDefault="003C6EB4" w:rsidP="003C6EB4">
            <w:pPr>
              <w:rPr>
                <w:rFonts w:cs="Arial"/>
                <w:sz w:val="20"/>
                <w:szCs w:val="20"/>
                <w:highlight w:val="yellow"/>
              </w:rPr>
            </w:pPr>
            <w:r w:rsidRPr="00BB191F">
              <w:rPr>
                <w:sz w:val="20"/>
                <w:szCs w:val="20"/>
              </w:rPr>
              <w:t>Students explore and examine textual representations of how individuals and communities express connections to notions of ‘homelands’, place and culture, as well as connections with others in an increasingly complex world.</w:t>
            </w:r>
            <w:r w:rsidRPr="00BB191F">
              <w:rPr>
                <w:rFonts w:cs="Arial"/>
                <w:i/>
                <w:sz w:val="20"/>
                <w:szCs w:val="20"/>
              </w:rPr>
              <w:t xml:space="preserve"> </w:t>
            </w:r>
          </w:p>
        </w:tc>
      </w:tr>
      <w:tr w:rsidR="003C6EB4" w:rsidRPr="005F0790" w:rsidTr="00594BD9">
        <w:trPr>
          <w:cantSplit/>
        </w:trPr>
        <w:tc>
          <w:tcPr>
            <w:tcW w:w="2700" w:type="dxa"/>
            <w:tcMar>
              <w:top w:w="57" w:type="dxa"/>
              <w:left w:w="57" w:type="dxa"/>
              <w:bottom w:w="57" w:type="dxa"/>
              <w:right w:w="57" w:type="dxa"/>
            </w:tcMar>
          </w:tcPr>
          <w:p w:rsidR="003C6EB4" w:rsidRPr="00BB191F" w:rsidRDefault="008E5800" w:rsidP="003C6EB4">
            <w:pPr>
              <w:rPr>
                <w:i/>
                <w:sz w:val="20"/>
                <w:szCs w:val="20"/>
              </w:rPr>
            </w:pPr>
            <w:r w:rsidRPr="00BB191F">
              <w:rPr>
                <w:sz w:val="20"/>
                <w:szCs w:val="20"/>
              </w:rPr>
              <w:t>Syllabus o</w:t>
            </w:r>
            <w:r w:rsidR="003C6EB4" w:rsidRPr="00BB191F">
              <w:rPr>
                <w:sz w:val="20"/>
                <w:szCs w:val="20"/>
              </w:rPr>
              <w:t xml:space="preserve">utcomes </w:t>
            </w:r>
          </w:p>
        </w:tc>
        <w:tc>
          <w:tcPr>
            <w:tcW w:w="12700" w:type="dxa"/>
            <w:gridSpan w:val="10"/>
            <w:tcMar>
              <w:top w:w="57" w:type="dxa"/>
              <w:left w:w="57" w:type="dxa"/>
              <w:bottom w:w="57" w:type="dxa"/>
              <w:right w:w="57" w:type="dxa"/>
            </w:tcMar>
          </w:tcPr>
          <w:p w:rsidR="003C6EB4" w:rsidRPr="00BB191F" w:rsidRDefault="003C6EB4" w:rsidP="00E66717">
            <w:pPr>
              <w:rPr>
                <w:rFonts w:cs="Arial"/>
                <w:sz w:val="20"/>
                <w:szCs w:val="20"/>
                <w:highlight w:val="yellow"/>
              </w:rPr>
            </w:pPr>
            <w:r w:rsidRPr="00BB191F">
              <w:rPr>
                <w:rFonts w:cs="Arial"/>
                <w:sz w:val="20"/>
                <w:szCs w:val="20"/>
              </w:rPr>
              <w:t>EE12-1, EE12-2, EE12-3, EE12-4, EE12-5</w:t>
            </w:r>
          </w:p>
        </w:tc>
      </w:tr>
      <w:tr w:rsidR="003C6EB4" w:rsidRPr="005F0790" w:rsidTr="0093043E">
        <w:trPr>
          <w:cantSplit/>
        </w:trPr>
        <w:tc>
          <w:tcPr>
            <w:tcW w:w="2700" w:type="dxa"/>
            <w:tcMar>
              <w:top w:w="57" w:type="dxa"/>
              <w:left w:w="57" w:type="dxa"/>
              <w:bottom w:w="57" w:type="dxa"/>
              <w:right w:w="57" w:type="dxa"/>
            </w:tcMar>
          </w:tcPr>
          <w:p w:rsidR="003C6EB4" w:rsidRPr="00BB191F" w:rsidRDefault="003C6EB4" w:rsidP="00E66717">
            <w:pPr>
              <w:rPr>
                <w:sz w:val="20"/>
                <w:szCs w:val="20"/>
              </w:rPr>
            </w:pPr>
            <w:r w:rsidRPr="00BB191F">
              <w:rPr>
                <w:sz w:val="20"/>
                <w:szCs w:val="20"/>
              </w:rPr>
              <w:t>Course requirements</w:t>
            </w:r>
          </w:p>
        </w:tc>
        <w:tc>
          <w:tcPr>
            <w:tcW w:w="12700" w:type="dxa"/>
            <w:gridSpan w:val="10"/>
            <w:tcMar>
              <w:top w:w="57" w:type="dxa"/>
              <w:left w:w="57" w:type="dxa"/>
              <w:bottom w:w="57" w:type="dxa"/>
              <w:right w:w="57" w:type="dxa"/>
            </w:tcMar>
          </w:tcPr>
          <w:p w:rsidR="003C6EB4" w:rsidRPr="00BB191F" w:rsidRDefault="003C6EB4" w:rsidP="00E66717">
            <w:pPr>
              <w:rPr>
                <w:rFonts w:cs="Arial"/>
                <w:sz w:val="20"/>
                <w:szCs w:val="20"/>
                <w:highlight w:val="yellow"/>
              </w:rPr>
            </w:pPr>
            <w:r w:rsidRPr="00BB191F">
              <w:rPr>
                <w:rFonts w:cs="Arial"/>
                <w:sz w:val="20"/>
                <w:szCs w:val="20"/>
              </w:rPr>
              <w:t>Prescribed texts and related material</w:t>
            </w:r>
          </w:p>
        </w:tc>
      </w:tr>
    </w:tbl>
    <w:p w:rsidR="005F0790" w:rsidRDefault="005F0790"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3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BB191F">
        <w:trPr>
          <w:cantSplit/>
          <w:tblHeader/>
        </w:trPr>
        <w:tc>
          <w:tcPr>
            <w:tcW w:w="2700" w:type="dxa"/>
            <w:shd w:val="clear" w:color="auto" w:fill="D9D9D9" w:themeFill="background1" w:themeFillShade="D9"/>
            <w:tcMar>
              <w:top w:w="57" w:type="dxa"/>
              <w:left w:w="57" w:type="dxa"/>
              <w:bottom w:w="57" w:type="dxa"/>
              <w:right w:w="57" w:type="dxa"/>
            </w:tcMar>
          </w:tcPr>
          <w:p w:rsidR="005F0790" w:rsidRPr="005F0790" w:rsidRDefault="000E2246" w:rsidP="00E66717">
            <w:pPr>
              <w:jc w:val="center"/>
              <w:rPr>
                <w:b/>
                <w:sz w:val="22"/>
              </w:rPr>
            </w:pPr>
            <w:r>
              <w:rPr>
                <w:b/>
                <w:sz w:val="22"/>
              </w:rPr>
              <w:t>Term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3C6EB4" w:rsidRPr="005F0790" w:rsidTr="003C6EB4">
        <w:trPr>
          <w:cantSplit/>
        </w:trPr>
        <w:tc>
          <w:tcPr>
            <w:tcW w:w="2700" w:type="dxa"/>
            <w:tcMar>
              <w:top w:w="57" w:type="dxa"/>
              <w:left w:w="57" w:type="dxa"/>
              <w:bottom w:w="57" w:type="dxa"/>
              <w:right w:w="57" w:type="dxa"/>
            </w:tcMar>
          </w:tcPr>
          <w:p w:rsidR="003C6EB4" w:rsidRPr="00BB191F" w:rsidRDefault="003C6EB4" w:rsidP="003C6EB4">
            <w:pPr>
              <w:rPr>
                <w:i/>
                <w:sz w:val="20"/>
                <w:szCs w:val="20"/>
              </w:rPr>
            </w:pPr>
            <w:r w:rsidRPr="00BB191F">
              <w:rPr>
                <w:i/>
                <w:sz w:val="20"/>
                <w:szCs w:val="20"/>
              </w:rPr>
              <w:t>Literary Worlds</w:t>
            </w:r>
          </w:p>
          <w:p w:rsidR="003C6EB4" w:rsidRPr="00BB191F" w:rsidRDefault="003C6EB4" w:rsidP="003C6EB4">
            <w:pPr>
              <w:rPr>
                <w:sz w:val="20"/>
                <w:szCs w:val="20"/>
              </w:rPr>
            </w:pPr>
            <w:r w:rsidRPr="00BB191F">
              <w:rPr>
                <w:sz w:val="20"/>
                <w:szCs w:val="20"/>
              </w:rPr>
              <w:t>Elective continued</w:t>
            </w:r>
          </w:p>
        </w:tc>
        <w:tc>
          <w:tcPr>
            <w:tcW w:w="12700" w:type="dxa"/>
            <w:gridSpan w:val="10"/>
            <w:tcMar>
              <w:top w:w="57" w:type="dxa"/>
              <w:left w:w="57" w:type="dxa"/>
              <w:bottom w:w="57" w:type="dxa"/>
              <w:right w:w="57" w:type="dxa"/>
            </w:tcMar>
          </w:tcPr>
          <w:p w:rsidR="003C6EB4" w:rsidRPr="00BB191F" w:rsidRDefault="003C6EB4" w:rsidP="003C6EB4">
            <w:pPr>
              <w:rPr>
                <w:rFonts w:cs="Arial"/>
                <w:i/>
                <w:sz w:val="20"/>
                <w:szCs w:val="20"/>
              </w:rPr>
            </w:pPr>
            <w:r w:rsidRPr="00BB191F">
              <w:rPr>
                <w:rFonts w:cs="Arial"/>
                <w:i/>
                <w:sz w:val="20"/>
                <w:szCs w:val="20"/>
              </w:rPr>
              <w:t>Literary Homelands</w:t>
            </w:r>
          </w:p>
          <w:p w:rsidR="003C6EB4" w:rsidRPr="00BB191F" w:rsidRDefault="003C6EB4" w:rsidP="00E66717">
            <w:pPr>
              <w:rPr>
                <w:rFonts w:cs="Arial"/>
                <w:sz w:val="20"/>
                <w:szCs w:val="20"/>
                <w:highlight w:val="yellow"/>
              </w:rPr>
            </w:pPr>
            <w:r w:rsidRPr="00BB191F">
              <w:rPr>
                <w:sz w:val="20"/>
                <w:szCs w:val="20"/>
              </w:rPr>
              <w:t>Students explore and examine textual representations of how individuals and communities express connections to notions of ‘homelands’, place and culture, as well as connections with others in an increasingly complex world.</w:t>
            </w:r>
          </w:p>
        </w:tc>
      </w:tr>
      <w:tr w:rsidR="003C6EB4" w:rsidRPr="005F0790" w:rsidTr="0016273C">
        <w:trPr>
          <w:cantSplit/>
        </w:trPr>
        <w:tc>
          <w:tcPr>
            <w:tcW w:w="2700" w:type="dxa"/>
            <w:tcMar>
              <w:top w:w="57" w:type="dxa"/>
              <w:left w:w="57" w:type="dxa"/>
              <w:bottom w:w="57" w:type="dxa"/>
              <w:right w:w="57" w:type="dxa"/>
            </w:tcMar>
          </w:tcPr>
          <w:p w:rsidR="003C6EB4" w:rsidRPr="00BB191F" w:rsidRDefault="008E5800" w:rsidP="003C6EB4">
            <w:pPr>
              <w:rPr>
                <w:i/>
                <w:sz w:val="20"/>
                <w:szCs w:val="20"/>
              </w:rPr>
            </w:pPr>
            <w:r w:rsidRPr="00BB191F">
              <w:rPr>
                <w:sz w:val="20"/>
                <w:szCs w:val="20"/>
              </w:rPr>
              <w:t>Syllabus o</w:t>
            </w:r>
            <w:r w:rsidR="003C6EB4" w:rsidRPr="00BB191F">
              <w:rPr>
                <w:sz w:val="20"/>
                <w:szCs w:val="20"/>
              </w:rPr>
              <w:t xml:space="preserve">utcomes </w:t>
            </w:r>
          </w:p>
        </w:tc>
        <w:tc>
          <w:tcPr>
            <w:tcW w:w="12700" w:type="dxa"/>
            <w:gridSpan w:val="10"/>
            <w:tcMar>
              <w:top w:w="57" w:type="dxa"/>
              <w:left w:w="57" w:type="dxa"/>
              <w:bottom w:w="57" w:type="dxa"/>
              <w:right w:w="57" w:type="dxa"/>
            </w:tcMar>
          </w:tcPr>
          <w:p w:rsidR="003C6EB4" w:rsidRPr="00BB191F" w:rsidRDefault="003C6EB4" w:rsidP="00E66717">
            <w:pPr>
              <w:rPr>
                <w:rFonts w:cs="Arial"/>
                <w:sz w:val="20"/>
                <w:szCs w:val="20"/>
                <w:highlight w:val="yellow"/>
              </w:rPr>
            </w:pPr>
            <w:r w:rsidRPr="00BB191F">
              <w:rPr>
                <w:rFonts w:cs="Arial"/>
                <w:sz w:val="20"/>
                <w:szCs w:val="20"/>
              </w:rPr>
              <w:t>EE12-1, EE12-2, EE12-3, EE12-4, EE12-5</w:t>
            </w:r>
          </w:p>
        </w:tc>
      </w:tr>
      <w:tr w:rsidR="003C6EB4" w:rsidRPr="005F0790" w:rsidTr="00B56CE8">
        <w:trPr>
          <w:cantSplit/>
        </w:trPr>
        <w:tc>
          <w:tcPr>
            <w:tcW w:w="2700" w:type="dxa"/>
            <w:tcMar>
              <w:top w:w="57" w:type="dxa"/>
              <w:left w:w="57" w:type="dxa"/>
              <w:bottom w:w="57" w:type="dxa"/>
              <w:right w:w="57" w:type="dxa"/>
            </w:tcMar>
          </w:tcPr>
          <w:p w:rsidR="003C6EB4" w:rsidRPr="00BB191F" w:rsidRDefault="003C6EB4" w:rsidP="00E66717">
            <w:pPr>
              <w:rPr>
                <w:sz w:val="20"/>
                <w:szCs w:val="20"/>
              </w:rPr>
            </w:pPr>
            <w:r w:rsidRPr="00BB191F">
              <w:rPr>
                <w:sz w:val="20"/>
                <w:szCs w:val="20"/>
              </w:rPr>
              <w:t>Course requirements</w:t>
            </w:r>
          </w:p>
        </w:tc>
        <w:tc>
          <w:tcPr>
            <w:tcW w:w="12700" w:type="dxa"/>
            <w:gridSpan w:val="10"/>
            <w:tcMar>
              <w:top w:w="57" w:type="dxa"/>
              <w:left w:w="57" w:type="dxa"/>
              <w:bottom w:w="57" w:type="dxa"/>
              <w:right w:w="57" w:type="dxa"/>
            </w:tcMar>
          </w:tcPr>
          <w:p w:rsidR="003C6EB4" w:rsidRPr="00BB191F" w:rsidRDefault="003C6EB4" w:rsidP="00E66717">
            <w:pPr>
              <w:rPr>
                <w:rFonts w:cs="Arial"/>
                <w:sz w:val="20"/>
                <w:szCs w:val="20"/>
                <w:highlight w:val="yellow"/>
              </w:rPr>
            </w:pPr>
            <w:r w:rsidRPr="00BB191F">
              <w:rPr>
                <w:rFonts w:cs="Arial"/>
                <w:sz w:val="20"/>
                <w:szCs w:val="20"/>
              </w:rPr>
              <w:t>Prescribed texts and related material</w:t>
            </w:r>
          </w:p>
        </w:tc>
      </w:tr>
    </w:tbl>
    <w:p w:rsidR="005F0790" w:rsidRPr="00A2573A" w:rsidRDefault="005F0790" w:rsidP="005F0790"/>
    <w:sectPr w:rsidR="005F0790" w:rsidRPr="00A2573A" w:rsidSect="00135E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A04C7"/>
    <w:rsid w:val="000A7165"/>
    <w:rsid w:val="000E2246"/>
    <w:rsid w:val="00114ABB"/>
    <w:rsid w:val="00135EF9"/>
    <w:rsid w:val="00163CF1"/>
    <w:rsid w:val="00181EE3"/>
    <w:rsid w:val="001F41E9"/>
    <w:rsid w:val="00212E77"/>
    <w:rsid w:val="00271942"/>
    <w:rsid w:val="002758CC"/>
    <w:rsid w:val="003C1E54"/>
    <w:rsid w:val="003C6EB4"/>
    <w:rsid w:val="00404D59"/>
    <w:rsid w:val="00417701"/>
    <w:rsid w:val="00426A0C"/>
    <w:rsid w:val="00484DC1"/>
    <w:rsid w:val="004B197C"/>
    <w:rsid w:val="004D0185"/>
    <w:rsid w:val="005F0790"/>
    <w:rsid w:val="0073068D"/>
    <w:rsid w:val="007B4AC3"/>
    <w:rsid w:val="008E5800"/>
    <w:rsid w:val="008F7575"/>
    <w:rsid w:val="009A3F0D"/>
    <w:rsid w:val="00A22E10"/>
    <w:rsid w:val="00A2573A"/>
    <w:rsid w:val="00A54A2E"/>
    <w:rsid w:val="00BB191F"/>
    <w:rsid w:val="00BC3311"/>
    <w:rsid w:val="00BC7F0C"/>
    <w:rsid w:val="00CD760D"/>
    <w:rsid w:val="00D10D71"/>
    <w:rsid w:val="00E3660C"/>
    <w:rsid w:val="00E44BAA"/>
    <w:rsid w:val="00F02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character" w:customStyle="1" w:styleId="apple-converted-space">
    <w:name w:val="apple-converted-space"/>
    <w:basedOn w:val="DefaultParagraphFont"/>
    <w:rsid w:val="00404D59"/>
  </w:style>
  <w:style w:type="paragraph" w:styleId="BalloonText">
    <w:name w:val="Balloon Text"/>
    <w:basedOn w:val="Normal"/>
    <w:link w:val="BalloonTextChar"/>
    <w:uiPriority w:val="99"/>
    <w:semiHidden/>
    <w:unhideWhenUsed/>
    <w:rsid w:val="0041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character" w:customStyle="1" w:styleId="apple-converted-space">
    <w:name w:val="apple-converted-space"/>
    <w:basedOn w:val="DefaultParagraphFont"/>
    <w:rsid w:val="00404D59"/>
  </w:style>
  <w:style w:type="paragraph" w:styleId="BalloonText">
    <w:name w:val="Balloon Text"/>
    <w:basedOn w:val="Normal"/>
    <w:link w:val="BalloonTextChar"/>
    <w:uiPriority w:val="99"/>
    <w:semiHidden/>
    <w:unhideWhenUsed/>
    <w:rsid w:val="0041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12 English Extension 1</dc:title>
  <dc:creator>NESA</dc:creator>
  <cp:lastModifiedBy>Lauren Wood</cp:lastModifiedBy>
  <cp:revision>10</cp:revision>
  <cp:lastPrinted>2017-02-28T05:09:00Z</cp:lastPrinted>
  <dcterms:created xsi:type="dcterms:W3CDTF">2017-02-28T04:32:00Z</dcterms:created>
  <dcterms:modified xsi:type="dcterms:W3CDTF">2017-03-22T03:35:00Z</dcterms:modified>
</cp:coreProperties>
</file>