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1FDE" w:rsidRDefault="00043E29">
      <w:pPr>
        <w:pStyle w:val="Heading1"/>
      </w:pPr>
      <w:bookmarkStart w:id="0" w:name="_GoBack"/>
      <w:bookmarkEnd w:id="0"/>
      <w:r>
        <w:t>Sample Scope and Sequence: English Life Skills – Year 12</w:t>
      </w:r>
    </w:p>
    <w:p w:rsidR="00A94C23" w:rsidRPr="00A94C23" w:rsidRDefault="00A94C23" w:rsidP="00A94C23">
      <w:pPr>
        <w:jc w:val="center"/>
        <w:rPr>
          <w:b/>
          <w:i/>
          <w:sz w:val="20"/>
          <w:szCs w:val="20"/>
        </w:rPr>
      </w:pPr>
      <w:r>
        <w:rPr>
          <w:b/>
          <w:i/>
          <w:sz w:val="20"/>
          <w:szCs w:val="20"/>
        </w:rPr>
        <w:t xml:space="preserve">Sample for implementation </w:t>
      </w:r>
      <w:r w:rsidR="00C30C79">
        <w:rPr>
          <w:b/>
          <w:i/>
          <w:sz w:val="20"/>
          <w:szCs w:val="20"/>
        </w:rPr>
        <w:t xml:space="preserve">for Year 12 </w:t>
      </w:r>
      <w:r>
        <w:rPr>
          <w:b/>
          <w:i/>
          <w:sz w:val="20"/>
          <w:szCs w:val="20"/>
        </w:rPr>
        <w:t xml:space="preserve">from </w:t>
      </w:r>
      <w:r w:rsidR="00C30C79">
        <w:rPr>
          <w:b/>
          <w:i/>
          <w:sz w:val="20"/>
          <w:szCs w:val="20"/>
        </w:rPr>
        <w:t>Term 4, 2018</w:t>
      </w:r>
    </w:p>
    <w:tbl>
      <w:tblPr>
        <w:tblStyle w:val="a"/>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380"/>
        <w:gridCol w:w="1483"/>
        <w:gridCol w:w="1484"/>
        <w:gridCol w:w="1483"/>
        <w:gridCol w:w="1484"/>
        <w:gridCol w:w="1484"/>
        <w:gridCol w:w="1483"/>
        <w:gridCol w:w="1484"/>
        <w:gridCol w:w="1484"/>
        <w:gridCol w:w="1484"/>
      </w:tblGrid>
      <w:tr w:rsidR="00831FDE">
        <w:trPr>
          <w:trHeight w:val="400"/>
        </w:trPr>
        <w:tc>
          <w:tcPr>
            <w:tcW w:w="675" w:type="dxa"/>
            <w:vMerge w:val="restart"/>
            <w:shd w:val="clear" w:color="auto" w:fill="FFFFFF"/>
            <w:tcMar>
              <w:top w:w="57" w:type="dxa"/>
              <w:left w:w="57" w:type="dxa"/>
              <w:bottom w:w="57" w:type="dxa"/>
              <w:right w:w="57" w:type="dxa"/>
            </w:tcMar>
            <w:vAlign w:val="center"/>
          </w:tcPr>
          <w:p w:rsidR="00831FDE" w:rsidRDefault="00043E29">
            <w:pPr>
              <w:contextualSpacing w:val="0"/>
              <w:jc w:val="center"/>
            </w:pPr>
            <w:r>
              <w:rPr>
                <w:b/>
                <w:sz w:val="22"/>
                <w:szCs w:val="22"/>
              </w:rPr>
              <w:t>Term 4</w:t>
            </w:r>
          </w:p>
        </w:tc>
        <w:tc>
          <w:tcPr>
            <w:tcW w:w="1380" w:type="dxa"/>
            <w:tcMar>
              <w:top w:w="57" w:type="dxa"/>
              <w:left w:w="57" w:type="dxa"/>
              <w:bottom w:w="57" w:type="dxa"/>
              <w:right w:w="57" w:type="dxa"/>
            </w:tcMar>
          </w:tcPr>
          <w:p w:rsidR="00831FDE" w:rsidRDefault="00043E29">
            <w:pPr>
              <w:contextualSpacing w:val="0"/>
              <w:jc w:val="center"/>
            </w:pPr>
            <w:r>
              <w:rPr>
                <w:b/>
                <w:sz w:val="22"/>
                <w:szCs w:val="22"/>
              </w:rPr>
              <w:t>Week 1</w:t>
            </w:r>
          </w:p>
        </w:tc>
        <w:tc>
          <w:tcPr>
            <w:tcW w:w="1483" w:type="dxa"/>
            <w:tcMar>
              <w:top w:w="57" w:type="dxa"/>
              <w:left w:w="57" w:type="dxa"/>
              <w:bottom w:w="57" w:type="dxa"/>
              <w:right w:w="57" w:type="dxa"/>
            </w:tcMar>
          </w:tcPr>
          <w:p w:rsidR="00831FDE" w:rsidRDefault="00043E29">
            <w:pPr>
              <w:contextualSpacing w:val="0"/>
              <w:jc w:val="center"/>
            </w:pPr>
            <w:r>
              <w:rPr>
                <w:b/>
                <w:sz w:val="22"/>
                <w:szCs w:val="22"/>
              </w:rPr>
              <w:t>Week 2</w:t>
            </w:r>
          </w:p>
        </w:tc>
        <w:tc>
          <w:tcPr>
            <w:tcW w:w="1484" w:type="dxa"/>
            <w:tcMar>
              <w:top w:w="57" w:type="dxa"/>
              <w:left w:w="57" w:type="dxa"/>
              <w:bottom w:w="57" w:type="dxa"/>
              <w:right w:w="57" w:type="dxa"/>
            </w:tcMar>
          </w:tcPr>
          <w:p w:rsidR="00831FDE" w:rsidRDefault="00043E29">
            <w:pPr>
              <w:contextualSpacing w:val="0"/>
              <w:jc w:val="center"/>
            </w:pPr>
            <w:r>
              <w:rPr>
                <w:b/>
                <w:sz w:val="22"/>
                <w:szCs w:val="22"/>
              </w:rPr>
              <w:t>Week 3</w:t>
            </w:r>
          </w:p>
        </w:tc>
        <w:tc>
          <w:tcPr>
            <w:tcW w:w="1483" w:type="dxa"/>
            <w:tcMar>
              <w:top w:w="57" w:type="dxa"/>
              <w:left w:w="57" w:type="dxa"/>
              <w:bottom w:w="57" w:type="dxa"/>
              <w:right w:w="57" w:type="dxa"/>
            </w:tcMar>
          </w:tcPr>
          <w:p w:rsidR="00831FDE" w:rsidRDefault="00043E29">
            <w:pPr>
              <w:contextualSpacing w:val="0"/>
              <w:jc w:val="center"/>
            </w:pPr>
            <w:r>
              <w:rPr>
                <w:b/>
                <w:sz w:val="22"/>
                <w:szCs w:val="22"/>
              </w:rPr>
              <w:t>Week 4</w:t>
            </w:r>
          </w:p>
        </w:tc>
        <w:tc>
          <w:tcPr>
            <w:tcW w:w="1484" w:type="dxa"/>
            <w:tcMar>
              <w:top w:w="57" w:type="dxa"/>
              <w:left w:w="57" w:type="dxa"/>
              <w:bottom w:w="57" w:type="dxa"/>
              <w:right w:w="57" w:type="dxa"/>
            </w:tcMar>
          </w:tcPr>
          <w:p w:rsidR="00831FDE" w:rsidRDefault="00043E29">
            <w:pPr>
              <w:contextualSpacing w:val="0"/>
              <w:jc w:val="center"/>
            </w:pPr>
            <w:r>
              <w:rPr>
                <w:b/>
                <w:sz w:val="22"/>
                <w:szCs w:val="22"/>
              </w:rPr>
              <w:t>Week 5</w:t>
            </w:r>
          </w:p>
        </w:tc>
        <w:tc>
          <w:tcPr>
            <w:tcW w:w="1484" w:type="dxa"/>
            <w:tcMar>
              <w:top w:w="57" w:type="dxa"/>
              <w:left w:w="57" w:type="dxa"/>
              <w:bottom w:w="57" w:type="dxa"/>
              <w:right w:w="57" w:type="dxa"/>
            </w:tcMar>
          </w:tcPr>
          <w:p w:rsidR="00831FDE" w:rsidRDefault="00043E29">
            <w:pPr>
              <w:contextualSpacing w:val="0"/>
              <w:jc w:val="center"/>
            </w:pPr>
            <w:r>
              <w:rPr>
                <w:b/>
                <w:sz w:val="22"/>
                <w:szCs w:val="22"/>
              </w:rPr>
              <w:t>Week 6</w:t>
            </w:r>
          </w:p>
        </w:tc>
        <w:tc>
          <w:tcPr>
            <w:tcW w:w="1483" w:type="dxa"/>
            <w:tcMar>
              <w:top w:w="57" w:type="dxa"/>
              <w:left w:w="57" w:type="dxa"/>
              <w:bottom w:w="57" w:type="dxa"/>
              <w:right w:w="57" w:type="dxa"/>
            </w:tcMar>
          </w:tcPr>
          <w:p w:rsidR="00831FDE" w:rsidRDefault="00043E29">
            <w:pPr>
              <w:contextualSpacing w:val="0"/>
              <w:jc w:val="center"/>
            </w:pPr>
            <w:r>
              <w:rPr>
                <w:b/>
                <w:sz w:val="22"/>
                <w:szCs w:val="22"/>
              </w:rPr>
              <w:t>Week 7</w:t>
            </w:r>
          </w:p>
        </w:tc>
        <w:tc>
          <w:tcPr>
            <w:tcW w:w="1484" w:type="dxa"/>
            <w:tcMar>
              <w:top w:w="57" w:type="dxa"/>
              <w:left w:w="57" w:type="dxa"/>
              <w:bottom w:w="57" w:type="dxa"/>
              <w:right w:w="57" w:type="dxa"/>
            </w:tcMar>
          </w:tcPr>
          <w:p w:rsidR="00831FDE" w:rsidRDefault="00043E29">
            <w:pPr>
              <w:contextualSpacing w:val="0"/>
              <w:jc w:val="center"/>
            </w:pPr>
            <w:r>
              <w:rPr>
                <w:b/>
                <w:sz w:val="22"/>
                <w:szCs w:val="22"/>
              </w:rPr>
              <w:t>Week 8</w:t>
            </w:r>
          </w:p>
        </w:tc>
        <w:tc>
          <w:tcPr>
            <w:tcW w:w="1484" w:type="dxa"/>
            <w:tcMar>
              <w:top w:w="57" w:type="dxa"/>
              <w:left w:w="57" w:type="dxa"/>
              <w:bottom w:w="57" w:type="dxa"/>
              <w:right w:w="57" w:type="dxa"/>
            </w:tcMar>
          </w:tcPr>
          <w:p w:rsidR="00831FDE" w:rsidRDefault="00043E29">
            <w:pPr>
              <w:contextualSpacing w:val="0"/>
              <w:jc w:val="center"/>
            </w:pPr>
            <w:r>
              <w:rPr>
                <w:b/>
                <w:sz w:val="22"/>
                <w:szCs w:val="22"/>
              </w:rPr>
              <w:t>Week 9</w:t>
            </w:r>
          </w:p>
        </w:tc>
        <w:tc>
          <w:tcPr>
            <w:tcW w:w="1484" w:type="dxa"/>
            <w:tcMar>
              <w:top w:w="57" w:type="dxa"/>
              <w:left w:w="57" w:type="dxa"/>
              <w:bottom w:w="57" w:type="dxa"/>
              <w:right w:w="57" w:type="dxa"/>
            </w:tcMar>
          </w:tcPr>
          <w:p w:rsidR="00831FDE" w:rsidRDefault="00043E29">
            <w:pPr>
              <w:contextualSpacing w:val="0"/>
              <w:jc w:val="center"/>
            </w:pPr>
            <w:r>
              <w:rPr>
                <w:b/>
                <w:sz w:val="22"/>
                <w:szCs w:val="22"/>
              </w:rPr>
              <w:t>Week 10</w:t>
            </w:r>
          </w:p>
        </w:tc>
      </w:tr>
      <w:tr w:rsidR="00831FDE">
        <w:trPr>
          <w:trHeight w:val="320"/>
        </w:trPr>
        <w:tc>
          <w:tcPr>
            <w:tcW w:w="675" w:type="dxa"/>
            <w:vMerge/>
            <w:shd w:val="clear" w:color="auto" w:fill="FFFFFF"/>
            <w:tcMar>
              <w:top w:w="57" w:type="dxa"/>
              <w:left w:w="57" w:type="dxa"/>
              <w:bottom w:w="57" w:type="dxa"/>
              <w:right w:w="57" w:type="dxa"/>
            </w:tcMar>
            <w:vAlign w:val="center"/>
          </w:tcPr>
          <w:p w:rsidR="00831FDE" w:rsidRDefault="00831FDE">
            <w:pPr>
              <w:contextualSpacing w:val="0"/>
            </w:pPr>
          </w:p>
        </w:tc>
        <w:tc>
          <w:tcPr>
            <w:tcW w:w="14733" w:type="dxa"/>
            <w:gridSpan w:val="10"/>
            <w:tcMar>
              <w:top w:w="57" w:type="dxa"/>
              <w:left w:w="57" w:type="dxa"/>
              <w:bottom w:w="57" w:type="dxa"/>
              <w:right w:w="57" w:type="dxa"/>
            </w:tcMar>
          </w:tcPr>
          <w:p w:rsidR="00831FDE" w:rsidRDefault="00841D27">
            <w:pPr>
              <w:widowControl/>
              <w:contextualSpacing w:val="0"/>
            </w:pPr>
            <w:r>
              <w:rPr>
                <w:i/>
                <w:sz w:val="22"/>
                <w:szCs w:val="22"/>
              </w:rPr>
              <w:t>Exploring places and people</w:t>
            </w:r>
          </w:p>
          <w:p w:rsidR="00831FDE" w:rsidRDefault="00043E29">
            <w:pPr>
              <w:widowControl/>
              <w:contextualSpacing w:val="0"/>
            </w:pPr>
            <w:r>
              <w:rPr>
                <w:sz w:val="22"/>
                <w:szCs w:val="22"/>
              </w:rPr>
              <w:t>Students explore other places and cultures through viewing and composing a range of texts. They will develop an understanding of diversity between peoples, perspectives and cultures. Students will learn to locate information and communicate personal views and preferences.</w:t>
            </w:r>
          </w:p>
        </w:tc>
      </w:tr>
      <w:tr w:rsidR="00831FDE">
        <w:trPr>
          <w:trHeight w:val="320"/>
        </w:trPr>
        <w:tc>
          <w:tcPr>
            <w:tcW w:w="675" w:type="dxa"/>
            <w:vMerge/>
            <w:shd w:val="clear" w:color="auto" w:fill="FFFFFF"/>
            <w:tcMar>
              <w:top w:w="57" w:type="dxa"/>
              <w:left w:w="57" w:type="dxa"/>
              <w:bottom w:w="57" w:type="dxa"/>
              <w:right w:w="57" w:type="dxa"/>
            </w:tcMar>
            <w:vAlign w:val="center"/>
          </w:tcPr>
          <w:p w:rsidR="00831FDE" w:rsidRDefault="00831FDE">
            <w:pPr>
              <w:contextualSpacing w:val="0"/>
            </w:pPr>
          </w:p>
        </w:tc>
        <w:tc>
          <w:tcPr>
            <w:tcW w:w="14733" w:type="dxa"/>
            <w:gridSpan w:val="10"/>
            <w:tcMar>
              <w:top w:w="57" w:type="dxa"/>
              <w:left w:w="57" w:type="dxa"/>
              <w:bottom w:w="57" w:type="dxa"/>
              <w:right w:w="57" w:type="dxa"/>
            </w:tcMar>
          </w:tcPr>
          <w:p w:rsidR="00831FDE" w:rsidRDefault="00043E29">
            <w:pPr>
              <w:widowControl/>
              <w:contextualSpacing w:val="0"/>
            </w:pPr>
            <w:r>
              <w:rPr>
                <w:sz w:val="22"/>
                <w:szCs w:val="22"/>
              </w:rPr>
              <w:t>This unit provides opportunities for students to experience texts drawn from:</w:t>
            </w:r>
          </w:p>
          <w:p w:rsidR="00831FDE" w:rsidRDefault="00043E29">
            <w:pPr>
              <w:widowControl/>
              <w:numPr>
                <w:ilvl w:val="0"/>
                <w:numId w:val="2"/>
              </w:numPr>
              <w:ind w:hanging="360"/>
              <w:rPr>
                <w:sz w:val="22"/>
                <w:szCs w:val="22"/>
              </w:rPr>
            </w:pPr>
            <w:r>
              <w:rPr>
                <w:sz w:val="22"/>
                <w:szCs w:val="22"/>
              </w:rPr>
              <w:t xml:space="preserve">Australian texts, including texts by Aboriginal authors and those that give insights into diverse experiences of Aboriginal and/or Torres Strait Islander peoples </w:t>
            </w:r>
          </w:p>
          <w:p w:rsidR="00831FDE" w:rsidRDefault="00043E29">
            <w:pPr>
              <w:widowControl/>
              <w:numPr>
                <w:ilvl w:val="0"/>
                <w:numId w:val="2"/>
              </w:numPr>
              <w:ind w:hanging="360"/>
              <w:rPr>
                <w:sz w:val="22"/>
                <w:szCs w:val="22"/>
              </w:rPr>
            </w:pPr>
            <w:r>
              <w:rPr>
                <w:sz w:val="22"/>
                <w:szCs w:val="22"/>
              </w:rPr>
              <w:t>texts with a wide range of cultural, social and gender perspectives, popular and youth cultures</w:t>
            </w:r>
          </w:p>
          <w:p w:rsidR="00831FDE" w:rsidRDefault="00A97D74">
            <w:pPr>
              <w:widowControl/>
              <w:numPr>
                <w:ilvl w:val="0"/>
                <w:numId w:val="2"/>
              </w:numPr>
              <w:ind w:hanging="360"/>
              <w:rPr>
                <w:sz w:val="22"/>
                <w:szCs w:val="22"/>
              </w:rPr>
            </w:pPr>
            <w:proofErr w:type="gramStart"/>
            <w:r>
              <w:rPr>
                <w:sz w:val="22"/>
                <w:szCs w:val="22"/>
              </w:rPr>
              <w:t>a</w:t>
            </w:r>
            <w:proofErr w:type="gramEnd"/>
            <w:r>
              <w:rPr>
                <w:sz w:val="22"/>
                <w:szCs w:val="22"/>
              </w:rPr>
              <w:t xml:space="preserve"> </w:t>
            </w:r>
            <w:r w:rsidR="00043E29">
              <w:rPr>
                <w:sz w:val="22"/>
                <w:szCs w:val="22"/>
              </w:rPr>
              <w:t>range of types of text drawn from prose fiction, drama, poetry, nonfiction, film, media and digital texts</w:t>
            </w:r>
            <w:r w:rsidR="00B67DE7">
              <w:rPr>
                <w:sz w:val="22"/>
                <w:szCs w:val="22"/>
              </w:rPr>
              <w:t>.</w:t>
            </w:r>
          </w:p>
        </w:tc>
      </w:tr>
      <w:tr w:rsidR="00831FDE">
        <w:trPr>
          <w:trHeight w:val="320"/>
        </w:trPr>
        <w:tc>
          <w:tcPr>
            <w:tcW w:w="675" w:type="dxa"/>
            <w:vMerge/>
            <w:shd w:val="clear" w:color="auto" w:fill="FFFFFF"/>
            <w:tcMar>
              <w:top w:w="57" w:type="dxa"/>
              <w:left w:w="57" w:type="dxa"/>
              <w:bottom w:w="57" w:type="dxa"/>
              <w:right w:w="57" w:type="dxa"/>
            </w:tcMar>
            <w:vAlign w:val="center"/>
          </w:tcPr>
          <w:p w:rsidR="00831FDE" w:rsidRDefault="00831FDE">
            <w:pPr>
              <w:contextualSpacing w:val="0"/>
            </w:pPr>
          </w:p>
        </w:tc>
        <w:tc>
          <w:tcPr>
            <w:tcW w:w="14733" w:type="dxa"/>
            <w:gridSpan w:val="10"/>
            <w:tcMar>
              <w:top w:w="57" w:type="dxa"/>
              <w:left w:w="57" w:type="dxa"/>
              <w:bottom w:w="57" w:type="dxa"/>
              <w:right w:w="57" w:type="dxa"/>
            </w:tcMar>
          </w:tcPr>
          <w:p w:rsidR="00831FDE" w:rsidRDefault="004229EE">
            <w:pPr>
              <w:contextualSpacing w:val="0"/>
            </w:pPr>
            <w:r>
              <w:rPr>
                <w:sz w:val="22"/>
                <w:szCs w:val="22"/>
              </w:rPr>
              <w:t>ENLS6-4</w:t>
            </w:r>
            <w:r w:rsidR="00043E29">
              <w:rPr>
                <w:sz w:val="22"/>
                <w:szCs w:val="22"/>
              </w:rPr>
              <w:t xml:space="preserve">, </w:t>
            </w:r>
            <w:r>
              <w:rPr>
                <w:sz w:val="22"/>
                <w:szCs w:val="22"/>
              </w:rPr>
              <w:t xml:space="preserve">ENLS6-5, </w:t>
            </w:r>
            <w:r w:rsidR="00043E29">
              <w:rPr>
                <w:sz w:val="22"/>
                <w:szCs w:val="22"/>
              </w:rPr>
              <w:t xml:space="preserve">ENLS6-6, ENLS6-7, </w:t>
            </w:r>
            <w:r>
              <w:rPr>
                <w:sz w:val="22"/>
                <w:szCs w:val="22"/>
              </w:rPr>
              <w:t>ENLS6-8, ENLS6-11, ENLS6-12</w:t>
            </w:r>
          </w:p>
        </w:tc>
      </w:tr>
    </w:tbl>
    <w:p w:rsidR="00831FDE" w:rsidRDefault="00831FDE">
      <w:pPr>
        <w:spacing w:after="0" w:line="240" w:lineRule="auto"/>
      </w:pPr>
    </w:p>
    <w:tbl>
      <w:tblPr>
        <w:tblStyle w:val="a0"/>
        <w:tblW w:w="1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1335"/>
        <w:gridCol w:w="1486"/>
        <w:gridCol w:w="1487"/>
        <w:gridCol w:w="1486"/>
        <w:gridCol w:w="1487"/>
        <w:gridCol w:w="1487"/>
        <w:gridCol w:w="1486"/>
        <w:gridCol w:w="1487"/>
        <w:gridCol w:w="1487"/>
        <w:gridCol w:w="1487"/>
      </w:tblGrid>
      <w:tr w:rsidR="00831FDE">
        <w:tc>
          <w:tcPr>
            <w:tcW w:w="690" w:type="dxa"/>
            <w:vMerge w:val="restart"/>
            <w:shd w:val="clear" w:color="auto" w:fill="FFFFFF"/>
            <w:tcMar>
              <w:top w:w="57" w:type="dxa"/>
              <w:left w:w="57" w:type="dxa"/>
              <w:bottom w:w="57" w:type="dxa"/>
              <w:right w:w="57" w:type="dxa"/>
            </w:tcMar>
            <w:vAlign w:val="center"/>
          </w:tcPr>
          <w:p w:rsidR="00831FDE" w:rsidRDefault="00043E29">
            <w:pPr>
              <w:contextualSpacing w:val="0"/>
              <w:jc w:val="center"/>
            </w:pPr>
            <w:r>
              <w:rPr>
                <w:b/>
                <w:sz w:val="22"/>
                <w:szCs w:val="22"/>
              </w:rPr>
              <w:t>Term 1</w:t>
            </w:r>
          </w:p>
        </w:tc>
        <w:tc>
          <w:tcPr>
            <w:tcW w:w="1335" w:type="dxa"/>
            <w:tcMar>
              <w:top w:w="57" w:type="dxa"/>
              <w:left w:w="57" w:type="dxa"/>
              <w:bottom w:w="57" w:type="dxa"/>
              <w:right w:w="57" w:type="dxa"/>
            </w:tcMar>
          </w:tcPr>
          <w:p w:rsidR="00831FDE" w:rsidRDefault="00043E29">
            <w:pPr>
              <w:contextualSpacing w:val="0"/>
              <w:jc w:val="center"/>
            </w:pPr>
            <w:r>
              <w:rPr>
                <w:b/>
                <w:sz w:val="22"/>
                <w:szCs w:val="22"/>
              </w:rPr>
              <w:t>Week 1</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2</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3</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4</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5</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6</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7</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8</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9</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10</w:t>
            </w:r>
          </w:p>
        </w:tc>
      </w:tr>
      <w:tr w:rsidR="00831FDE">
        <w:trPr>
          <w:trHeight w:val="320"/>
        </w:trPr>
        <w:tc>
          <w:tcPr>
            <w:tcW w:w="690" w:type="dxa"/>
            <w:vMerge/>
            <w:shd w:val="clear" w:color="auto" w:fill="FFFFFF"/>
            <w:tcMar>
              <w:top w:w="57" w:type="dxa"/>
              <w:left w:w="57" w:type="dxa"/>
              <w:bottom w:w="57" w:type="dxa"/>
              <w:right w:w="57" w:type="dxa"/>
            </w:tcMar>
            <w:vAlign w:val="center"/>
          </w:tcPr>
          <w:p w:rsidR="00831FDE" w:rsidRDefault="00831FDE">
            <w:pPr>
              <w:contextualSpacing w:val="0"/>
            </w:pPr>
          </w:p>
        </w:tc>
        <w:tc>
          <w:tcPr>
            <w:tcW w:w="14715" w:type="dxa"/>
            <w:gridSpan w:val="10"/>
            <w:tcMar>
              <w:top w:w="57" w:type="dxa"/>
              <w:left w:w="57" w:type="dxa"/>
              <w:bottom w:w="57" w:type="dxa"/>
              <w:right w:w="57" w:type="dxa"/>
            </w:tcMar>
          </w:tcPr>
          <w:p w:rsidR="00831FDE" w:rsidRDefault="00841D27">
            <w:pPr>
              <w:contextualSpacing w:val="0"/>
            </w:pPr>
            <w:r>
              <w:rPr>
                <w:i/>
                <w:sz w:val="22"/>
                <w:szCs w:val="22"/>
              </w:rPr>
              <w:t>The wonderful world of the web</w:t>
            </w:r>
          </w:p>
          <w:p w:rsidR="00831FDE" w:rsidRDefault="00043E29">
            <w:pPr>
              <w:contextualSpacing w:val="0"/>
            </w:pPr>
            <w:r>
              <w:rPr>
                <w:sz w:val="22"/>
                <w:szCs w:val="22"/>
              </w:rPr>
              <w:t>Students develop digital literacy skills as they engage with a variety of digital texts for learning, work and social interaction. Students develop an understanding of digital citizenship as they compose and create digital texts for a variety of purposes and audiences.</w:t>
            </w:r>
          </w:p>
        </w:tc>
      </w:tr>
      <w:tr w:rsidR="00831FDE">
        <w:trPr>
          <w:trHeight w:val="320"/>
        </w:trPr>
        <w:tc>
          <w:tcPr>
            <w:tcW w:w="690" w:type="dxa"/>
            <w:vMerge/>
            <w:shd w:val="clear" w:color="auto" w:fill="FFFFFF"/>
            <w:tcMar>
              <w:top w:w="57" w:type="dxa"/>
              <w:left w:w="57" w:type="dxa"/>
              <w:bottom w:w="57" w:type="dxa"/>
              <w:right w:w="57" w:type="dxa"/>
            </w:tcMar>
            <w:vAlign w:val="center"/>
          </w:tcPr>
          <w:p w:rsidR="00831FDE" w:rsidRDefault="00831FDE">
            <w:pPr>
              <w:contextualSpacing w:val="0"/>
            </w:pPr>
          </w:p>
        </w:tc>
        <w:tc>
          <w:tcPr>
            <w:tcW w:w="14715" w:type="dxa"/>
            <w:gridSpan w:val="10"/>
            <w:tcMar>
              <w:top w:w="57" w:type="dxa"/>
              <w:left w:w="57" w:type="dxa"/>
              <w:bottom w:w="57" w:type="dxa"/>
              <w:right w:w="57" w:type="dxa"/>
            </w:tcMar>
          </w:tcPr>
          <w:p w:rsidR="00831FDE" w:rsidRDefault="00043E29">
            <w:pPr>
              <w:widowControl/>
              <w:contextualSpacing w:val="0"/>
            </w:pPr>
            <w:r>
              <w:rPr>
                <w:sz w:val="22"/>
                <w:szCs w:val="22"/>
              </w:rPr>
              <w:t>This unit provides opportunities for students to experience texts drawn from</w:t>
            </w:r>
            <w:r w:rsidR="00A97D74">
              <w:rPr>
                <w:sz w:val="22"/>
                <w:szCs w:val="22"/>
              </w:rPr>
              <w:t>:</w:t>
            </w:r>
          </w:p>
          <w:p w:rsidR="00831FDE" w:rsidRDefault="00043E29">
            <w:pPr>
              <w:widowControl/>
              <w:numPr>
                <w:ilvl w:val="0"/>
                <w:numId w:val="2"/>
              </w:numPr>
              <w:ind w:hanging="360"/>
              <w:rPr>
                <w:sz w:val="22"/>
                <w:szCs w:val="22"/>
              </w:rPr>
            </w:pPr>
            <w:r>
              <w:rPr>
                <w:sz w:val="22"/>
                <w:szCs w:val="22"/>
              </w:rPr>
              <w:t>a wide range of cultural, social and gender perspectives, popular and youth cultures</w:t>
            </w:r>
          </w:p>
          <w:p w:rsidR="00831FDE" w:rsidRDefault="00043E29">
            <w:pPr>
              <w:widowControl/>
              <w:contextualSpacing w:val="0"/>
            </w:pPr>
            <w:r>
              <w:rPr>
                <w:sz w:val="22"/>
                <w:szCs w:val="22"/>
              </w:rPr>
              <w:t>as well as opportunities for students to</w:t>
            </w:r>
            <w:r w:rsidR="00A97D74">
              <w:rPr>
                <w:sz w:val="22"/>
                <w:szCs w:val="22"/>
              </w:rPr>
              <w:t>:</w:t>
            </w:r>
          </w:p>
          <w:p w:rsidR="00831FDE" w:rsidRDefault="00043E29">
            <w:pPr>
              <w:widowControl/>
              <w:numPr>
                <w:ilvl w:val="0"/>
                <w:numId w:val="1"/>
              </w:numPr>
              <w:ind w:hanging="360"/>
              <w:rPr>
                <w:sz w:val="22"/>
                <w:szCs w:val="22"/>
              </w:rPr>
            </w:pPr>
            <w:proofErr w:type="gramStart"/>
            <w:r>
              <w:rPr>
                <w:sz w:val="22"/>
                <w:szCs w:val="22"/>
              </w:rPr>
              <w:t>read</w:t>
            </w:r>
            <w:proofErr w:type="gramEnd"/>
            <w:r>
              <w:rPr>
                <w:sz w:val="22"/>
                <w:szCs w:val="22"/>
              </w:rPr>
              <w:t>, view, listen to and compose a wide range of texts, including print and multimodal texts.</w:t>
            </w:r>
          </w:p>
        </w:tc>
      </w:tr>
      <w:tr w:rsidR="00831FDE">
        <w:trPr>
          <w:trHeight w:val="320"/>
        </w:trPr>
        <w:tc>
          <w:tcPr>
            <w:tcW w:w="690" w:type="dxa"/>
            <w:vMerge/>
            <w:shd w:val="clear" w:color="auto" w:fill="FFFFFF"/>
            <w:tcMar>
              <w:top w:w="57" w:type="dxa"/>
              <w:left w:w="57" w:type="dxa"/>
              <w:bottom w:w="57" w:type="dxa"/>
              <w:right w:w="57" w:type="dxa"/>
            </w:tcMar>
            <w:vAlign w:val="center"/>
          </w:tcPr>
          <w:p w:rsidR="00831FDE" w:rsidRDefault="00831FDE">
            <w:pPr>
              <w:contextualSpacing w:val="0"/>
            </w:pPr>
          </w:p>
        </w:tc>
        <w:tc>
          <w:tcPr>
            <w:tcW w:w="14715" w:type="dxa"/>
            <w:gridSpan w:val="10"/>
            <w:tcMar>
              <w:top w:w="57" w:type="dxa"/>
              <w:left w:w="57" w:type="dxa"/>
              <w:bottom w:w="57" w:type="dxa"/>
              <w:right w:w="57" w:type="dxa"/>
            </w:tcMar>
          </w:tcPr>
          <w:p w:rsidR="00831FDE" w:rsidRDefault="00043E29">
            <w:pPr>
              <w:contextualSpacing w:val="0"/>
            </w:pPr>
            <w:r>
              <w:rPr>
                <w:sz w:val="22"/>
                <w:szCs w:val="22"/>
              </w:rPr>
              <w:t>ENLS6-5, ENLS6-7, ENLS6-8, ENLS6-12</w:t>
            </w:r>
          </w:p>
        </w:tc>
      </w:tr>
    </w:tbl>
    <w:p w:rsidR="00831FDE" w:rsidRDefault="00831FDE">
      <w:pPr>
        <w:spacing w:after="0" w:line="240" w:lineRule="auto"/>
      </w:pPr>
    </w:p>
    <w:tbl>
      <w:tblPr>
        <w:tblStyle w:val="a1"/>
        <w:tblW w:w="1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1335"/>
        <w:gridCol w:w="1486"/>
        <w:gridCol w:w="1487"/>
        <w:gridCol w:w="1486"/>
        <w:gridCol w:w="1487"/>
        <w:gridCol w:w="1487"/>
        <w:gridCol w:w="1486"/>
        <w:gridCol w:w="1487"/>
        <w:gridCol w:w="1487"/>
        <w:gridCol w:w="1487"/>
      </w:tblGrid>
      <w:tr w:rsidR="00831FDE">
        <w:tc>
          <w:tcPr>
            <w:tcW w:w="690" w:type="dxa"/>
            <w:vMerge w:val="restart"/>
            <w:shd w:val="clear" w:color="auto" w:fill="FFFFFF"/>
            <w:tcMar>
              <w:top w:w="57" w:type="dxa"/>
              <w:left w:w="57" w:type="dxa"/>
              <w:bottom w:w="57" w:type="dxa"/>
              <w:right w:w="57" w:type="dxa"/>
            </w:tcMar>
            <w:vAlign w:val="center"/>
          </w:tcPr>
          <w:p w:rsidR="00831FDE" w:rsidRDefault="00043E29">
            <w:pPr>
              <w:contextualSpacing w:val="0"/>
              <w:jc w:val="center"/>
            </w:pPr>
            <w:r>
              <w:rPr>
                <w:b/>
                <w:sz w:val="22"/>
                <w:szCs w:val="22"/>
              </w:rPr>
              <w:t>Term 2</w:t>
            </w:r>
          </w:p>
        </w:tc>
        <w:tc>
          <w:tcPr>
            <w:tcW w:w="1335" w:type="dxa"/>
            <w:tcMar>
              <w:top w:w="57" w:type="dxa"/>
              <w:left w:w="57" w:type="dxa"/>
              <w:bottom w:w="57" w:type="dxa"/>
              <w:right w:w="57" w:type="dxa"/>
            </w:tcMar>
          </w:tcPr>
          <w:p w:rsidR="00831FDE" w:rsidRDefault="00043E29">
            <w:pPr>
              <w:contextualSpacing w:val="0"/>
              <w:jc w:val="center"/>
            </w:pPr>
            <w:r>
              <w:rPr>
                <w:b/>
                <w:sz w:val="22"/>
                <w:szCs w:val="22"/>
              </w:rPr>
              <w:t>Week 1</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2</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3</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4</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5</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6</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7</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8</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9</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10</w:t>
            </w:r>
          </w:p>
        </w:tc>
      </w:tr>
      <w:tr w:rsidR="00831FDE">
        <w:trPr>
          <w:trHeight w:val="320"/>
        </w:trPr>
        <w:tc>
          <w:tcPr>
            <w:tcW w:w="690" w:type="dxa"/>
            <w:vMerge/>
            <w:shd w:val="clear" w:color="auto" w:fill="FFFFFF"/>
            <w:tcMar>
              <w:top w:w="57" w:type="dxa"/>
              <w:left w:w="57" w:type="dxa"/>
              <w:bottom w:w="57" w:type="dxa"/>
              <w:right w:w="57" w:type="dxa"/>
            </w:tcMar>
            <w:vAlign w:val="center"/>
          </w:tcPr>
          <w:p w:rsidR="00831FDE" w:rsidRDefault="00831FDE">
            <w:pPr>
              <w:contextualSpacing w:val="0"/>
            </w:pPr>
          </w:p>
        </w:tc>
        <w:tc>
          <w:tcPr>
            <w:tcW w:w="14715" w:type="dxa"/>
            <w:gridSpan w:val="10"/>
            <w:tcMar>
              <w:top w:w="57" w:type="dxa"/>
              <w:left w:w="57" w:type="dxa"/>
              <w:bottom w:w="57" w:type="dxa"/>
              <w:right w:w="57" w:type="dxa"/>
            </w:tcMar>
          </w:tcPr>
          <w:p w:rsidR="00831FDE" w:rsidRDefault="00841D27">
            <w:pPr>
              <w:contextualSpacing w:val="0"/>
            </w:pPr>
            <w:r>
              <w:rPr>
                <w:i/>
                <w:sz w:val="22"/>
                <w:szCs w:val="22"/>
              </w:rPr>
              <w:t>Animate me</w:t>
            </w:r>
          </w:p>
          <w:p w:rsidR="00831FDE" w:rsidRDefault="00043E29">
            <w:pPr>
              <w:contextualSpacing w:val="0"/>
            </w:pPr>
            <w:r>
              <w:rPr>
                <w:sz w:val="22"/>
                <w:szCs w:val="22"/>
              </w:rPr>
              <w:t xml:space="preserve">Students engage with a series of short animated films to explore the ideas and perspectives communicated. They develop an understanding of the value of film as a text and the ways in which composers use language forms and features to communicate ideas. </w:t>
            </w:r>
          </w:p>
        </w:tc>
      </w:tr>
      <w:tr w:rsidR="00831FDE">
        <w:trPr>
          <w:trHeight w:val="320"/>
        </w:trPr>
        <w:tc>
          <w:tcPr>
            <w:tcW w:w="690" w:type="dxa"/>
            <w:vMerge/>
            <w:shd w:val="clear" w:color="auto" w:fill="FFFFFF"/>
            <w:tcMar>
              <w:top w:w="57" w:type="dxa"/>
              <w:left w:w="57" w:type="dxa"/>
              <w:bottom w:w="57" w:type="dxa"/>
              <w:right w:w="57" w:type="dxa"/>
            </w:tcMar>
            <w:vAlign w:val="center"/>
          </w:tcPr>
          <w:p w:rsidR="00831FDE" w:rsidRDefault="00831FDE">
            <w:pPr>
              <w:contextualSpacing w:val="0"/>
            </w:pPr>
          </w:p>
        </w:tc>
        <w:tc>
          <w:tcPr>
            <w:tcW w:w="14715" w:type="dxa"/>
            <w:gridSpan w:val="10"/>
            <w:tcMar>
              <w:top w:w="57" w:type="dxa"/>
              <w:left w:w="57" w:type="dxa"/>
              <w:bottom w:w="57" w:type="dxa"/>
              <w:right w:w="57" w:type="dxa"/>
            </w:tcMar>
          </w:tcPr>
          <w:p w:rsidR="00831FDE" w:rsidRDefault="00043E29">
            <w:pPr>
              <w:contextualSpacing w:val="0"/>
            </w:pPr>
            <w:r>
              <w:rPr>
                <w:sz w:val="22"/>
                <w:szCs w:val="22"/>
              </w:rPr>
              <w:t xml:space="preserve">This unit provides opportunities for students to experience multimodal and digital texts. </w:t>
            </w:r>
          </w:p>
        </w:tc>
      </w:tr>
      <w:tr w:rsidR="00831FDE">
        <w:trPr>
          <w:trHeight w:val="320"/>
        </w:trPr>
        <w:tc>
          <w:tcPr>
            <w:tcW w:w="690" w:type="dxa"/>
            <w:vMerge/>
            <w:shd w:val="clear" w:color="auto" w:fill="FFFFFF"/>
            <w:tcMar>
              <w:top w:w="57" w:type="dxa"/>
              <w:left w:w="57" w:type="dxa"/>
              <w:bottom w:w="57" w:type="dxa"/>
              <w:right w:w="57" w:type="dxa"/>
            </w:tcMar>
            <w:vAlign w:val="center"/>
          </w:tcPr>
          <w:p w:rsidR="00831FDE" w:rsidRDefault="00831FDE">
            <w:pPr>
              <w:contextualSpacing w:val="0"/>
            </w:pPr>
          </w:p>
        </w:tc>
        <w:tc>
          <w:tcPr>
            <w:tcW w:w="14715" w:type="dxa"/>
            <w:gridSpan w:val="10"/>
            <w:tcMar>
              <w:top w:w="57" w:type="dxa"/>
              <w:left w:w="57" w:type="dxa"/>
              <w:bottom w:w="57" w:type="dxa"/>
              <w:right w:w="57" w:type="dxa"/>
            </w:tcMar>
          </w:tcPr>
          <w:p w:rsidR="00831FDE" w:rsidRDefault="00043E29">
            <w:pPr>
              <w:contextualSpacing w:val="0"/>
            </w:pPr>
            <w:r>
              <w:rPr>
                <w:sz w:val="22"/>
                <w:szCs w:val="22"/>
              </w:rPr>
              <w:t>ENLS6-4, ENLS6-7, ENLS6-11</w:t>
            </w:r>
          </w:p>
        </w:tc>
      </w:tr>
    </w:tbl>
    <w:p w:rsidR="00831FDE" w:rsidRDefault="00831FDE">
      <w:pPr>
        <w:spacing w:after="0" w:line="240" w:lineRule="auto"/>
      </w:pPr>
    </w:p>
    <w:p w:rsidR="00831FDE" w:rsidRDefault="00831FDE">
      <w:pPr>
        <w:spacing w:after="0" w:line="240" w:lineRule="auto"/>
      </w:pPr>
    </w:p>
    <w:p w:rsidR="00043E29" w:rsidRDefault="00043E29">
      <w:pPr>
        <w:spacing w:after="0" w:line="240" w:lineRule="auto"/>
      </w:pPr>
    </w:p>
    <w:tbl>
      <w:tblPr>
        <w:tblStyle w:val="a2"/>
        <w:tblW w:w="15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305"/>
        <w:gridCol w:w="1486"/>
        <w:gridCol w:w="1487"/>
        <w:gridCol w:w="1486"/>
        <w:gridCol w:w="1487"/>
        <w:gridCol w:w="1487"/>
        <w:gridCol w:w="1486"/>
        <w:gridCol w:w="1487"/>
        <w:gridCol w:w="1487"/>
        <w:gridCol w:w="1487"/>
      </w:tblGrid>
      <w:tr w:rsidR="00831FDE">
        <w:tc>
          <w:tcPr>
            <w:tcW w:w="720" w:type="dxa"/>
            <w:vMerge w:val="restart"/>
            <w:shd w:val="clear" w:color="auto" w:fill="FFFFFF"/>
            <w:tcMar>
              <w:top w:w="57" w:type="dxa"/>
              <w:left w:w="57" w:type="dxa"/>
              <w:bottom w:w="57" w:type="dxa"/>
              <w:right w:w="57" w:type="dxa"/>
            </w:tcMar>
            <w:vAlign w:val="center"/>
          </w:tcPr>
          <w:p w:rsidR="00831FDE" w:rsidRDefault="00043E29">
            <w:pPr>
              <w:contextualSpacing w:val="0"/>
              <w:jc w:val="center"/>
            </w:pPr>
            <w:r>
              <w:rPr>
                <w:b/>
                <w:sz w:val="22"/>
                <w:szCs w:val="22"/>
              </w:rPr>
              <w:t>Term 3</w:t>
            </w:r>
          </w:p>
        </w:tc>
        <w:tc>
          <w:tcPr>
            <w:tcW w:w="1305" w:type="dxa"/>
            <w:tcMar>
              <w:top w:w="57" w:type="dxa"/>
              <w:left w:w="57" w:type="dxa"/>
              <w:bottom w:w="57" w:type="dxa"/>
              <w:right w:w="57" w:type="dxa"/>
            </w:tcMar>
          </w:tcPr>
          <w:p w:rsidR="00831FDE" w:rsidRDefault="00043E29">
            <w:pPr>
              <w:contextualSpacing w:val="0"/>
              <w:jc w:val="center"/>
            </w:pPr>
            <w:r>
              <w:rPr>
                <w:b/>
                <w:sz w:val="22"/>
                <w:szCs w:val="22"/>
              </w:rPr>
              <w:t>Week 1</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2</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3</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4</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5</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6</w:t>
            </w:r>
          </w:p>
        </w:tc>
        <w:tc>
          <w:tcPr>
            <w:tcW w:w="1486" w:type="dxa"/>
            <w:tcMar>
              <w:top w:w="57" w:type="dxa"/>
              <w:left w:w="57" w:type="dxa"/>
              <w:bottom w:w="57" w:type="dxa"/>
              <w:right w:w="57" w:type="dxa"/>
            </w:tcMar>
          </w:tcPr>
          <w:p w:rsidR="00831FDE" w:rsidRDefault="00043E29">
            <w:pPr>
              <w:contextualSpacing w:val="0"/>
              <w:jc w:val="center"/>
            </w:pPr>
            <w:r>
              <w:rPr>
                <w:b/>
                <w:sz w:val="22"/>
                <w:szCs w:val="22"/>
              </w:rPr>
              <w:t>Week 7</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8</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9</w:t>
            </w:r>
          </w:p>
        </w:tc>
        <w:tc>
          <w:tcPr>
            <w:tcW w:w="1487" w:type="dxa"/>
            <w:tcMar>
              <w:top w:w="57" w:type="dxa"/>
              <w:left w:w="57" w:type="dxa"/>
              <w:bottom w:w="57" w:type="dxa"/>
              <w:right w:w="57" w:type="dxa"/>
            </w:tcMar>
          </w:tcPr>
          <w:p w:rsidR="00831FDE" w:rsidRDefault="00043E29">
            <w:pPr>
              <w:contextualSpacing w:val="0"/>
              <w:jc w:val="center"/>
            </w:pPr>
            <w:r>
              <w:rPr>
                <w:b/>
                <w:sz w:val="22"/>
                <w:szCs w:val="22"/>
              </w:rPr>
              <w:t>Week 10</w:t>
            </w:r>
          </w:p>
        </w:tc>
      </w:tr>
      <w:tr w:rsidR="00831FDE">
        <w:trPr>
          <w:trHeight w:val="320"/>
        </w:trPr>
        <w:tc>
          <w:tcPr>
            <w:tcW w:w="720" w:type="dxa"/>
            <w:vMerge/>
            <w:shd w:val="clear" w:color="auto" w:fill="FFFFFF"/>
            <w:tcMar>
              <w:top w:w="57" w:type="dxa"/>
              <w:left w:w="57" w:type="dxa"/>
              <w:bottom w:w="57" w:type="dxa"/>
              <w:right w:w="57" w:type="dxa"/>
            </w:tcMar>
            <w:vAlign w:val="center"/>
          </w:tcPr>
          <w:p w:rsidR="00831FDE" w:rsidRDefault="00831FDE">
            <w:pPr>
              <w:contextualSpacing w:val="0"/>
            </w:pPr>
            <w:bookmarkStart w:id="1" w:name="_gjdgxs" w:colFirst="0" w:colLast="0"/>
            <w:bookmarkEnd w:id="1"/>
          </w:p>
        </w:tc>
        <w:tc>
          <w:tcPr>
            <w:tcW w:w="14685" w:type="dxa"/>
            <w:gridSpan w:val="10"/>
            <w:tcMar>
              <w:top w:w="57" w:type="dxa"/>
              <w:left w:w="57" w:type="dxa"/>
              <w:bottom w:w="57" w:type="dxa"/>
              <w:right w:w="57" w:type="dxa"/>
            </w:tcMar>
          </w:tcPr>
          <w:p w:rsidR="00831FDE" w:rsidRDefault="00841D27">
            <w:pPr>
              <w:contextualSpacing w:val="0"/>
            </w:pPr>
            <w:r>
              <w:rPr>
                <w:i/>
                <w:sz w:val="22"/>
                <w:szCs w:val="22"/>
              </w:rPr>
              <w:t>Me, myself and I</w:t>
            </w:r>
          </w:p>
          <w:p w:rsidR="00831FDE" w:rsidRDefault="00043E29">
            <w:pPr>
              <w:contextualSpacing w:val="0"/>
            </w:pPr>
            <w:r>
              <w:rPr>
                <w:sz w:val="22"/>
                <w:szCs w:val="22"/>
              </w:rPr>
              <w:t xml:space="preserve">Students read the novel </w:t>
            </w:r>
            <w:r>
              <w:rPr>
                <w:i/>
                <w:sz w:val="22"/>
                <w:szCs w:val="22"/>
              </w:rPr>
              <w:t xml:space="preserve">The Curious Incident of the Dog in the Night Time </w:t>
            </w:r>
            <w:r>
              <w:rPr>
                <w:sz w:val="22"/>
                <w:szCs w:val="22"/>
              </w:rPr>
              <w:t>to explore the concept of identity. They compose texts to communicate ideas about themselves, what makes them unique and their relationships with others. Through engagement with the core text, students are provided with opportunities to value and appreciate the diversity and uniqueness of others.</w:t>
            </w:r>
          </w:p>
        </w:tc>
      </w:tr>
      <w:tr w:rsidR="00831FDE">
        <w:trPr>
          <w:trHeight w:val="320"/>
        </w:trPr>
        <w:tc>
          <w:tcPr>
            <w:tcW w:w="720" w:type="dxa"/>
            <w:vMerge/>
            <w:shd w:val="clear" w:color="auto" w:fill="FFFFFF"/>
            <w:tcMar>
              <w:top w:w="57" w:type="dxa"/>
              <w:left w:w="57" w:type="dxa"/>
              <w:bottom w:w="57" w:type="dxa"/>
              <w:right w:w="57" w:type="dxa"/>
            </w:tcMar>
            <w:vAlign w:val="center"/>
          </w:tcPr>
          <w:p w:rsidR="00831FDE" w:rsidRDefault="00831FDE">
            <w:pPr>
              <w:contextualSpacing w:val="0"/>
            </w:pPr>
          </w:p>
        </w:tc>
        <w:tc>
          <w:tcPr>
            <w:tcW w:w="14685" w:type="dxa"/>
            <w:gridSpan w:val="10"/>
            <w:tcMar>
              <w:top w:w="57" w:type="dxa"/>
              <w:left w:w="57" w:type="dxa"/>
              <w:bottom w:w="57" w:type="dxa"/>
              <w:right w:w="57" w:type="dxa"/>
            </w:tcMar>
          </w:tcPr>
          <w:p w:rsidR="00831FDE" w:rsidRDefault="00043E29">
            <w:pPr>
              <w:widowControl/>
              <w:contextualSpacing w:val="0"/>
            </w:pPr>
            <w:r>
              <w:rPr>
                <w:sz w:val="22"/>
                <w:szCs w:val="22"/>
              </w:rPr>
              <w:t>This unit provides opportunities for students to experience prose fiction that provides experiences of</w:t>
            </w:r>
            <w:r w:rsidR="00A97D74">
              <w:rPr>
                <w:sz w:val="22"/>
                <w:szCs w:val="22"/>
              </w:rPr>
              <w:t>:</w:t>
            </w:r>
            <w:r>
              <w:rPr>
                <w:sz w:val="22"/>
                <w:szCs w:val="22"/>
              </w:rPr>
              <w:t xml:space="preserve"> </w:t>
            </w:r>
          </w:p>
          <w:p w:rsidR="00831FDE" w:rsidRDefault="00043E29">
            <w:pPr>
              <w:widowControl/>
              <w:numPr>
                <w:ilvl w:val="0"/>
                <w:numId w:val="3"/>
              </w:numPr>
              <w:ind w:hanging="360"/>
              <w:rPr>
                <w:sz w:val="22"/>
                <w:szCs w:val="22"/>
              </w:rPr>
            </w:pPr>
            <w:r>
              <w:rPr>
                <w:sz w:val="22"/>
                <w:szCs w:val="22"/>
              </w:rPr>
              <w:t xml:space="preserve">cultural, social and gender perspectives, </w:t>
            </w:r>
            <w:r w:rsidR="00A97D74">
              <w:rPr>
                <w:sz w:val="22"/>
                <w:szCs w:val="22"/>
              </w:rPr>
              <w:t xml:space="preserve">and </w:t>
            </w:r>
            <w:r>
              <w:rPr>
                <w:sz w:val="22"/>
                <w:szCs w:val="22"/>
              </w:rPr>
              <w:t>popular and youth cultures</w:t>
            </w:r>
          </w:p>
          <w:p w:rsidR="00831FDE" w:rsidRDefault="00043E29">
            <w:pPr>
              <w:widowControl/>
              <w:numPr>
                <w:ilvl w:val="0"/>
                <w:numId w:val="3"/>
              </w:numPr>
              <w:ind w:hanging="360"/>
              <w:rPr>
                <w:sz w:val="22"/>
                <w:szCs w:val="22"/>
              </w:rPr>
            </w:pPr>
            <w:proofErr w:type="gramStart"/>
            <w:r>
              <w:rPr>
                <w:sz w:val="22"/>
                <w:szCs w:val="22"/>
              </w:rPr>
              <w:t>integrated</w:t>
            </w:r>
            <w:proofErr w:type="gramEnd"/>
            <w:r>
              <w:rPr>
                <w:sz w:val="22"/>
                <w:szCs w:val="22"/>
              </w:rPr>
              <w:t xml:space="preserve"> modes of reading, writing, listening, speaking, viewing and representing as appropriate.</w:t>
            </w:r>
          </w:p>
        </w:tc>
      </w:tr>
      <w:tr w:rsidR="00831FDE">
        <w:trPr>
          <w:trHeight w:val="320"/>
        </w:trPr>
        <w:tc>
          <w:tcPr>
            <w:tcW w:w="720" w:type="dxa"/>
            <w:vMerge/>
            <w:shd w:val="clear" w:color="auto" w:fill="FFFFFF"/>
            <w:tcMar>
              <w:top w:w="57" w:type="dxa"/>
              <w:left w:w="57" w:type="dxa"/>
              <w:bottom w:w="57" w:type="dxa"/>
              <w:right w:w="57" w:type="dxa"/>
            </w:tcMar>
            <w:vAlign w:val="center"/>
          </w:tcPr>
          <w:p w:rsidR="00831FDE" w:rsidRDefault="00831FDE">
            <w:pPr>
              <w:contextualSpacing w:val="0"/>
            </w:pPr>
          </w:p>
        </w:tc>
        <w:tc>
          <w:tcPr>
            <w:tcW w:w="14685" w:type="dxa"/>
            <w:gridSpan w:val="10"/>
            <w:tcMar>
              <w:top w:w="57" w:type="dxa"/>
              <w:left w:w="57" w:type="dxa"/>
              <w:bottom w:w="57" w:type="dxa"/>
              <w:right w:w="57" w:type="dxa"/>
            </w:tcMar>
          </w:tcPr>
          <w:p w:rsidR="00831FDE" w:rsidRDefault="00043E29">
            <w:pPr>
              <w:contextualSpacing w:val="0"/>
            </w:pPr>
            <w:r>
              <w:rPr>
                <w:sz w:val="22"/>
                <w:szCs w:val="22"/>
              </w:rPr>
              <w:t>ENLS6-4, ENLS6-8, ENLS6-9</w:t>
            </w:r>
          </w:p>
        </w:tc>
      </w:tr>
    </w:tbl>
    <w:p w:rsidR="00831FDE" w:rsidRDefault="00831FDE">
      <w:pPr>
        <w:spacing w:after="0" w:line="240" w:lineRule="auto"/>
      </w:pPr>
    </w:p>
    <w:sectPr w:rsidR="00831FDE" w:rsidSect="00F9404B">
      <w:footerReference w:type="default" r:id="rId8"/>
      <w:footerReference w:type="first" r:id="rId9"/>
      <w:pgSz w:w="16839" w:h="11907" w:orient="landscape" w:code="9"/>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36" w:rsidRDefault="009A2D36" w:rsidP="00F9404B">
      <w:pPr>
        <w:spacing w:after="0" w:line="240" w:lineRule="auto"/>
      </w:pPr>
      <w:r>
        <w:separator/>
      </w:r>
    </w:p>
  </w:endnote>
  <w:endnote w:type="continuationSeparator" w:id="0">
    <w:p w:rsidR="009A2D36" w:rsidRDefault="009A2D36" w:rsidP="00F9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B" w:rsidRDefault="00F9404B" w:rsidP="00F9404B">
    <w:pPr>
      <w:pStyle w:val="Footer"/>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5059"/>
      <w:docPartObj>
        <w:docPartGallery w:val="Page Numbers (Bottom of Page)"/>
        <w:docPartUnique/>
      </w:docPartObj>
    </w:sdtPr>
    <w:sdtEndPr>
      <w:rPr>
        <w:noProof/>
      </w:rPr>
    </w:sdtEndPr>
    <w:sdtContent>
      <w:p w:rsidR="00F9404B" w:rsidRDefault="00F9404B">
        <w:pPr>
          <w:pStyle w:val="Footer"/>
          <w:jc w:val="right"/>
        </w:pPr>
        <w:r>
          <w:fldChar w:fldCharType="begin"/>
        </w:r>
        <w:r>
          <w:instrText xml:space="preserve"> PAGE   \* MERGEFORMAT </w:instrText>
        </w:r>
        <w:r>
          <w:fldChar w:fldCharType="separate"/>
        </w:r>
        <w:r w:rsidR="007B3B91">
          <w:rPr>
            <w:noProof/>
          </w:rPr>
          <w:t>1</w:t>
        </w:r>
        <w:r>
          <w:rPr>
            <w:noProof/>
          </w:rPr>
          <w:fldChar w:fldCharType="end"/>
        </w:r>
      </w:p>
    </w:sdtContent>
  </w:sdt>
  <w:p w:rsidR="00F9404B" w:rsidRDefault="00F9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36" w:rsidRDefault="009A2D36" w:rsidP="00F9404B">
      <w:pPr>
        <w:spacing w:after="0" w:line="240" w:lineRule="auto"/>
      </w:pPr>
      <w:r>
        <w:separator/>
      </w:r>
    </w:p>
  </w:footnote>
  <w:footnote w:type="continuationSeparator" w:id="0">
    <w:p w:rsidR="009A2D36" w:rsidRDefault="009A2D36" w:rsidP="00F94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460"/>
    <w:multiLevelType w:val="multilevel"/>
    <w:tmpl w:val="4C24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0684EE4"/>
    <w:multiLevelType w:val="multilevel"/>
    <w:tmpl w:val="6FEAE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8861D9E"/>
    <w:multiLevelType w:val="multilevel"/>
    <w:tmpl w:val="E7B80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1FDE"/>
    <w:rsid w:val="000235E8"/>
    <w:rsid w:val="00043E29"/>
    <w:rsid w:val="000A29F8"/>
    <w:rsid w:val="004229EE"/>
    <w:rsid w:val="004649D0"/>
    <w:rsid w:val="007B3B91"/>
    <w:rsid w:val="00831FDE"/>
    <w:rsid w:val="00841D27"/>
    <w:rsid w:val="009A2D36"/>
    <w:rsid w:val="00A94C23"/>
    <w:rsid w:val="00A97D74"/>
    <w:rsid w:val="00B67DE7"/>
    <w:rsid w:val="00C30C79"/>
    <w:rsid w:val="00D542BE"/>
    <w:rsid w:val="00E82919"/>
    <w:rsid w:val="00F94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5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BE"/>
    <w:rPr>
      <w:rFonts w:ascii="Tahoma" w:hAnsi="Tahoma" w:cs="Tahoma"/>
      <w:sz w:val="16"/>
      <w:szCs w:val="16"/>
    </w:rPr>
  </w:style>
  <w:style w:type="paragraph" w:styleId="Header">
    <w:name w:val="header"/>
    <w:basedOn w:val="Normal"/>
    <w:link w:val="HeaderChar"/>
    <w:uiPriority w:val="99"/>
    <w:unhideWhenUsed/>
    <w:rsid w:val="00F9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04B"/>
  </w:style>
  <w:style w:type="paragraph" w:styleId="Footer">
    <w:name w:val="footer"/>
    <w:basedOn w:val="Normal"/>
    <w:link w:val="FooterChar"/>
    <w:uiPriority w:val="99"/>
    <w:unhideWhenUsed/>
    <w:rsid w:val="00F9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5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BE"/>
    <w:rPr>
      <w:rFonts w:ascii="Tahoma" w:hAnsi="Tahoma" w:cs="Tahoma"/>
      <w:sz w:val="16"/>
      <w:szCs w:val="16"/>
    </w:rPr>
  </w:style>
  <w:style w:type="paragraph" w:styleId="Header">
    <w:name w:val="header"/>
    <w:basedOn w:val="Normal"/>
    <w:link w:val="HeaderChar"/>
    <w:uiPriority w:val="99"/>
    <w:unhideWhenUsed/>
    <w:rsid w:val="00F94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04B"/>
  </w:style>
  <w:style w:type="paragraph" w:styleId="Footer">
    <w:name w:val="footer"/>
    <w:basedOn w:val="Normal"/>
    <w:link w:val="FooterChar"/>
    <w:uiPriority w:val="99"/>
    <w:unhideWhenUsed/>
    <w:rsid w:val="00F94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Life Skills</dc:title>
  <dc:creator>NESA</dc:creator>
  <cp:lastModifiedBy>Lauren Wood</cp:lastModifiedBy>
  <cp:revision>12</cp:revision>
  <cp:lastPrinted>2017-03-20T22:03:00Z</cp:lastPrinted>
  <dcterms:created xsi:type="dcterms:W3CDTF">2017-01-25T02:12:00Z</dcterms:created>
  <dcterms:modified xsi:type="dcterms:W3CDTF">2017-03-23T02:35:00Z</dcterms:modified>
</cp:coreProperties>
</file>