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52" w:rsidRDefault="005C01F1" w:rsidP="005C01F1">
      <w:pPr>
        <w:keepNext/>
        <w:keepLines/>
        <w:ind w:right="-23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en-AU"/>
        </w:rPr>
      </w:pPr>
      <w:r w:rsidRPr="005169DC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Sample </w:t>
      </w:r>
      <w:r w:rsidR="00013ADB">
        <w:rPr>
          <w:rFonts w:ascii="Arial" w:hAnsi="Arial" w:cs="Arial"/>
          <w:b/>
          <w:color w:val="000000"/>
          <w:sz w:val="24"/>
          <w:szCs w:val="24"/>
          <w:lang w:eastAsia="en-AU"/>
        </w:rPr>
        <w:t>U</w:t>
      </w:r>
      <w:r w:rsidRPr="005169DC">
        <w:rPr>
          <w:rFonts w:ascii="Arial" w:hAnsi="Arial" w:cs="Arial"/>
          <w:b/>
          <w:color w:val="000000"/>
          <w:sz w:val="24"/>
          <w:szCs w:val="24"/>
          <w:lang w:eastAsia="en-AU"/>
        </w:rPr>
        <w:t>nit</w:t>
      </w:r>
      <w:r w:rsidR="002A0952" w:rsidRPr="005169DC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 </w:t>
      </w:r>
      <w:r w:rsidR="00C749A5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– </w:t>
      </w:r>
      <w:r w:rsidR="002A0952" w:rsidRPr="005169DC">
        <w:rPr>
          <w:rFonts w:ascii="Arial" w:hAnsi="Arial" w:cs="Arial"/>
          <w:b/>
          <w:color w:val="000000"/>
          <w:sz w:val="24"/>
          <w:szCs w:val="24"/>
          <w:lang w:eastAsia="en-AU"/>
        </w:rPr>
        <w:t>Earth and Environmental Science</w:t>
      </w:r>
      <w:r w:rsidR="00013ADB" w:rsidRPr="00013ADB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 </w:t>
      </w:r>
      <w:r w:rsidR="00013ADB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- </w:t>
      </w:r>
      <w:r w:rsidR="00013ADB" w:rsidRPr="005169DC">
        <w:rPr>
          <w:rFonts w:ascii="Arial" w:hAnsi="Arial" w:cs="Arial"/>
          <w:b/>
          <w:color w:val="000000"/>
          <w:sz w:val="24"/>
          <w:szCs w:val="24"/>
          <w:lang w:eastAsia="en-AU"/>
        </w:rPr>
        <w:t>Year 11</w:t>
      </w:r>
    </w:p>
    <w:p w:rsidR="00205FF7" w:rsidRPr="005169DC" w:rsidRDefault="00205FF7" w:rsidP="005C01F1">
      <w:pPr>
        <w:keepNext/>
        <w:keepLines/>
        <w:ind w:right="-23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en-AU"/>
        </w:rPr>
      </w:pPr>
    </w:p>
    <w:p w:rsidR="005C01F1" w:rsidRPr="005C01F1" w:rsidRDefault="005C01F1" w:rsidP="005C01F1">
      <w:pPr>
        <w:keepNext/>
        <w:keepLines/>
        <w:spacing w:after="200" w:line="276" w:lineRule="auto"/>
        <w:ind w:right="-23"/>
        <w:jc w:val="center"/>
        <w:outlineLvl w:val="0"/>
        <w:rPr>
          <w:rFonts w:ascii="Arial" w:hAnsi="Arial" w:cs="Arial"/>
          <w:b/>
          <w:i/>
          <w:color w:val="000000"/>
          <w:sz w:val="20"/>
          <w:szCs w:val="20"/>
          <w:lang w:eastAsia="en-AU"/>
        </w:rPr>
      </w:pPr>
      <w:r w:rsidRPr="005C01F1">
        <w:rPr>
          <w:rFonts w:ascii="Arial" w:hAnsi="Arial" w:cs="Arial"/>
          <w:b/>
          <w:i/>
          <w:color w:val="000000"/>
          <w:sz w:val="20"/>
          <w:szCs w:val="20"/>
          <w:lang w:eastAsia="en-AU"/>
        </w:rPr>
        <w:t>Sample for implementation from Year 11 from 2018</w:t>
      </w: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2"/>
        <w:gridCol w:w="1967"/>
        <w:gridCol w:w="5781"/>
      </w:tblGrid>
      <w:tr w:rsidR="002A0952" w:rsidRPr="00316378" w:rsidTr="004D27C8">
        <w:tc>
          <w:tcPr>
            <w:tcW w:w="76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2A095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Module 1: Earth’s resources</w:t>
            </w: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Duration</w:t>
            </w:r>
          </w:p>
        </w:tc>
        <w:tc>
          <w:tcPr>
            <w:tcW w:w="5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5169DC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30 hours</w:t>
            </w:r>
            <w:r w:rsidR="007F1A15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including </w:t>
            </w:r>
            <w:r w:rsidR="005169D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a </w:t>
            </w:r>
            <w:r w:rsidR="007F1A15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5 hour </w:t>
            </w:r>
            <w:r w:rsidR="005169D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</w:t>
            </w:r>
            <w:r w:rsidR="007F1A15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epth </w:t>
            </w:r>
            <w:r w:rsidR="005169D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</w:t>
            </w:r>
            <w:r w:rsidR="007F1A15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tudy</w:t>
            </w:r>
          </w:p>
        </w:tc>
      </w:tr>
      <w:tr w:rsidR="002A0952" w:rsidRPr="00316378" w:rsidTr="004D27C8">
        <w:tc>
          <w:tcPr>
            <w:tcW w:w="15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Content Focus</w:t>
            </w:r>
          </w:p>
          <w:p w:rsidR="002A0952" w:rsidRPr="00316378" w:rsidRDefault="005C01F1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 investigate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compositional layers of the Earth.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They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examine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rock composition and the origins of the component materials, including minerals. They extend their knowledge of Earth and space from Stage 5 </w:t>
            </w:r>
            <w:r w:rsidR="005169DC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Science 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by learning about soil, the </w:t>
            </w:r>
            <w:r w:rsidR="005169D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ock </w:t>
            </w:r>
            <w:r w:rsidR="005169D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ycle and technologies used to gather geological data.</w:t>
            </w:r>
          </w:p>
          <w:p w:rsidR="002A0952" w:rsidRPr="00316378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 explore the work of geologists, including the significance of this work to the mining of non-renewable resources. They also explore technologies used to gather and interpret data, including absolute and relative dating of rocks.</w:t>
            </w:r>
          </w:p>
          <w:p w:rsidR="002A0952" w:rsidRPr="00316378" w:rsidRDefault="002A0952" w:rsidP="00C13FCD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Module Focus</w:t>
            </w:r>
          </w:p>
          <w:p w:rsidR="002A0952" w:rsidRPr="00316378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 the first module in the Earth and Environmental Science course, there is an emphasis on reviewing and developing student’s prior knowledge gained in Stage 4 and Stage 5</w:t>
            </w:r>
            <w:r w:rsidR="005C01F1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Science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  <w:p w:rsidR="002A0952" w:rsidRPr="00316378" w:rsidRDefault="002A0952" w:rsidP="00C13FCD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Working Scientifically</w:t>
            </w:r>
          </w:p>
          <w:p w:rsidR="002A0952" w:rsidRPr="00316378" w:rsidRDefault="005C01F1" w:rsidP="005C01F1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tudents focus on conducting investigations to </w:t>
            </w:r>
            <w:proofErr w:type="gramStart"/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collect,</w:t>
            </w:r>
            <w:proofErr w:type="gramEnd"/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process and analyse data in order to identify trends, patterns and relationships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of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the Earth’s resources. Students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are</w:t>
            </w:r>
            <w:r w:rsidR="002A0952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provided with opportunities to engage with all Working Scientifically skills throughout the course.</w:t>
            </w:r>
          </w:p>
        </w:tc>
      </w:tr>
      <w:tr w:rsidR="002A0952" w:rsidRPr="00316378" w:rsidTr="004D27C8">
        <w:tc>
          <w:tcPr>
            <w:tcW w:w="15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253" w:rsidRPr="00316378" w:rsidRDefault="002A0952" w:rsidP="002A095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Outcomes</w:t>
            </w:r>
          </w:p>
          <w:p w:rsidR="003F5253" w:rsidRPr="005169DC" w:rsidRDefault="003F5253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169D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student:</w:t>
            </w:r>
          </w:p>
          <w:p w:rsidR="002A0952" w:rsidRPr="00316378" w:rsidRDefault="002A0952" w:rsidP="003F5253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conducts investigations to collect valid and reliable primary and secondary data and information EES11/12-3</w:t>
            </w:r>
          </w:p>
          <w:p w:rsidR="002A0952" w:rsidRPr="00316378" w:rsidRDefault="002A0952" w:rsidP="003F5253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selects and processes appropriate qualitative and quantitative data and information using a range of appropriate media EES11/12-4</w:t>
            </w:r>
          </w:p>
          <w:p w:rsidR="002A0952" w:rsidRPr="00316378" w:rsidRDefault="002A0952" w:rsidP="003F5253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analyses and evaluates primary and secondary data and information EES11/12-5</w:t>
            </w:r>
          </w:p>
          <w:p w:rsidR="002A0952" w:rsidRPr="00316378" w:rsidRDefault="002A0952" w:rsidP="003F5253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describes the key features of the Earth’s systems, including the geosphere, atmosphere, hydrosphere and biosphere and how they are interrelated EES11-8</w:t>
            </w:r>
          </w:p>
        </w:tc>
      </w:tr>
      <w:tr w:rsidR="002A0952" w:rsidRPr="00316378" w:rsidTr="004D27C8">
        <w:tc>
          <w:tcPr>
            <w:tcW w:w="76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3F525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Resources</w:t>
            </w:r>
          </w:p>
          <w:p w:rsidR="002B7DC1" w:rsidRPr="00316378" w:rsidRDefault="002B7DC1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Space – Ep</w:t>
            </w:r>
            <w:r w:rsidR="00013ADB">
              <w:rPr>
                <w:rFonts w:ascii="Arial" w:hAnsi="Arial" w:cs="Arial"/>
                <w:sz w:val="20"/>
                <w:szCs w:val="20"/>
                <w:lang w:eastAsia="en-AU"/>
              </w:rPr>
              <w:t>isode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1 Star stuff </w:t>
            </w:r>
            <w:hyperlink r:id="rId8">
              <w:r w:rsidRPr="005C01F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n-AU"/>
                </w:rPr>
                <w:t>http://www.dailymotion.com/video/x11afti_space-with-sam-neill-episode-1-star-stuff_tech</w:t>
              </w:r>
            </w:hyperlink>
          </w:p>
          <w:p w:rsidR="002B7DC1" w:rsidRPr="00316378" w:rsidRDefault="00BC5F87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graphs of seismic wave velocities</w:t>
            </w:r>
          </w:p>
          <w:p w:rsidR="00BC5F87" w:rsidRPr="00316378" w:rsidRDefault="00BC5F87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oil, corn syrup</w:t>
            </w:r>
            <w:r w:rsidR="009D70F3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="009D70F3" w:rsidRPr="00316378">
              <w:rPr>
                <w:rFonts w:ascii="Arial" w:hAnsi="Arial" w:cs="Arial"/>
                <w:sz w:val="20"/>
                <w:szCs w:val="20"/>
                <w:lang w:eastAsia="en-AU"/>
              </w:rPr>
              <w:t>pvc</w:t>
            </w:r>
            <w:proofErr w:type="spellEnd"/>
            <w:r w:rsidR="009D70F3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glue</w:t>
            </w:r>
          </w:p>
          <w:p w:rsidR="00BC5F87" w:rsidRPr="00316378" w:rsidRDefault="00BC5F87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samples of granite, basalt, olivine, and haematite</w:t>
            </w:r>
          </w:p>
          <w:p w:rsidR="00787923" w:rsidRPr="00316378" w:rsidRDefault="0078792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diverse range of igneous rock samples</w:t>
            </w:r>
          </w:p>
          <w:p w:rsidR="00BC5F87" w:rsidRPr="00316378" w:rsidRDefault="00BC5F87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balances</w:t>
            </w:r>
            <w:r w:rsidR="00847237" w:rsidRPr="00316378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displacement cans/measuring cylind</w:t>
            </w:r>
            <w:r w:rsidR="00847237" w:rsidRPr="00316378">
              <w:rPr>
                <w:rFonts w:ascii="Arial" w:hAnsi="Arial" w:cs="Arial"/>
                <w:sz w:val="20"/>
                <w:szCs w:val="20"/>
                <w:lang w:eastAsia="en-AU"/>
              </w:rPr>
              <w:t>ers</w:t>
            </w:r>
          </w:p>
          <w:p w:rsidR="00BC5F87" w:rsidRPr="00316378" w:rsidRDefault="00C75326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saturated potassium nitrate solution</w:t>
            </w:r>
          </w:p>
          <w:p w:rsidR="002346D4" w:rsidRPr="00316378" w:rsidRDefault="002346D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Smithsonian</w:t>
            </w:r>
            <w:r w:rsidR="00B85CB1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Environmental Research Centre </w:t>
            </w:r>
            <w:hyperlink r:id="rId9" w:history="1">
              <w:r w:rsidRPr="00316378">
                <w:rPr>
                  <w:rFonts w:ascii="Arial" w:hAnsi="Arial" w:cs="Arial"/>
                  <w:sz w:val="20"/>
                  <w:szCs w:val="20"/>
                  <w:lang w:eastAsia="en-AU"/>
                </w:rPr>
                <w:t>forces.si.edu/soils/</w:t>
              </w:r>
            </w:hyperlink>
          </w:p>
          <w:p w:rsidR="00E86F07" w:rsidRPr="00316378" w:rsidRDefault="00E86F07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CSIRO Soil Landscape grid of Australia</w:t>
            </w:r>
            <w:r w:rsidRPr="00316378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 xml:space="preserve"> </w:t>
            </w:r>
            <w:hyperlink r:id="rId10" w:history="1">
              <w:r w:rsidRPr="005C01F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http://www.clw.csiro.au/aclep/soilandlandscapegrid/</w:t>
              </w:r>
            </w:hyperlink>
            <w:r w:rsidRPr="00316378">
              <w:rPr>
                <w:rFonts w:ascii="Arial" w:eastAsiaTheme="minorHAnsi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74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Formal assessment</w:t>
            </w:r>
          </w:p>
          <w:p w:rsidR="007F1A15" w:rsidRPr="00316378" w:rsidRDefault="007F1A15" w:rsidP="00C13FCD">
            <w:pPr>
              <w:spacing w:before="200"/>
              <w:rPr>
                <w:rFonts w:ascii="Arial" w:eastAsiaTheme="minorHAnsi" w:hAnsi="Arial" w:cs="Arial"/>
                <w:sz w:val="20"/>
                <w:szCs w:val="20"/>
              </w:rPr>
            </w:pPr>
            <w:r w:rsidRPr="005C01F1">
              <w:rPr>
                <w:rFonts w:ascii="Arial" w:eastAsiaTheme="minorHAnsi" w:hAnsi="Arial" w:cs="Arial"/>
                <w:b/>
                <w:sz w:val="20"/>
                <w:szCs w:val="20"/>
              </w:rPr>
              <w:t>Field study: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 Students engage in a geological field study</w:t>
            </w:r>
            <w:r w:rsidR="00C07F03">
              <w:rPr>
                <w:rFonts w:ascii="Arial" w:eastAsiaTheme="minorHAnsi" w:hAnsi="Arial" w:cs="Arial"/>
                <w:sz w:val="20"/>
                <w:szCs w:val="20"/>
              </w:rPr>
              <w:t xml:space="preserve"> and investigate soil profiles.</w:t>
            </w:r>
          </w:p>
          <w:p w:rsidR="007F1A15" w:rsidRPr="00316378" w:rsidRDefault="00013ADB" w:rsidP="007F1A1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They c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ompare a site that has an agricultural use and a natural site. </w:t>
            </w:r>
          </w:p>
          <w:p w:rsidR="007F1A15" w:rsidRPr="005C01F1" w:rsidRDefault="00927897" w:rsidP="00C13FCD">
            <w:pPr>
              <w:spacing w:before="20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Depth Study for </w:t>
            </w:r>
            <w:r w:rsidR="00C13FCD">
              <w:rPr>
                <w:rFonts w:ascii="Arial" w:eastAsiaTheme="minorHAnsi" w:hAnsi="Arial" w:cs="Arial"/>
                <w:b/>
                <w:sz w:val="20"/>
                <w:szCs w:val="20"/>
              </w:rPr>
              <w:t>assessment</w:t>
            </w:r>
          </w:p>
          <w:p w:rsidR="007F1A15" w:rsidRPr="008251D9" w:rsidRDefault="00013ADB" w:rsidP="0092789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Students c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hoose one area of soils from the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field study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 that interests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them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 and develop an inquiry question.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They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 must include a practical investigation and research in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thei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>r in</w:t>
            </w:r>
            <w:r w:rsidR="00B85CB1" w:rsidRPr="00316378">
              <w:rPr>
                <w:rFonts w:ascii="Arial" w:eastAsiaTheme="minorHAnsi" w:hAnsi="Arial" w:cs="Arial"/>
                <w:sz w:val="20"/>
                <w:szCs w:val="20"/>
              </w:rPr>
              <w:t>vestigation.</w:t>
            </w:r>
            <w:r w:rsidR="00AA5BF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Students r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eport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thei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r findings in </w:t>
            </w:r>
            <w:r w:rsidR="00927897">
              <w:rPr>
                <w:rFonts w:ascii="Arial" w:eastAsiaTheme="minorHAnsi" w:hAnsi="Arial" w:cs="Arial"/>
                <w:sz w:val="20"/>
                <w:szCs w:val="20"/>
              </w:rPr>
              <w:t xml:space="preserve">5 minute </w:t>
            </w:r>
            <w:r w:rsidR="007F1A15" w:rsidRPr="00316378">
              <w:rPr>
                <w:rFonts w:ascii="Arial" w:eastAsiaTheme="minorHAnsi" w:hAnsi="Arial" w:cs="Arial"/>
                <w:sz w:val="20"/>
                <w:szCs w:val="20"/>
              </w:rPr>
              <w:t>oral presentat</w:t>
            </w:r>
            <w:r w:rsidR="00B85CB1" w:rsidRPr="00316378">
              <w:rPr>
                <w:rFonts w:ascii="Arial" w:eastAsiaTheme="minorHAnsi" w:hAnsi="Arial" w:cs="Arial"/>
                <w:sz w:val="20"/>
                <w:szCs w:val="20"/>
              </w:rPr>
              <w:t>ion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</w:p>
        </w:tc>
      </w:tr>
      <w:tr w:rsidR="002A0952" w:rsidRPr="00316378" w:rsidTr="004D27C8">
        <w:tc>
          <w:tcPr>
            <w:tcW w:w="15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C13FCD" w:rsidP="002A095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I</w:t>
            </w:r>
            <w:r w:rsidR="002A0952"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nquiry questions</w:t>
            </w:r>
          </w:p>
          <w:p w:rsidR="002A0952" w:rsidRPr="00013ADB" w:rsidRDefault="002A0952" w:rsidP="002A0952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013AD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How did the compositional layers of the Earth develop?</w:t>
            </w:r>
          </w:p>
          <w:p w:rsidR="002A0952" w:rsidRPr="00013ADB" w:rsidRDefault="002A0952" w:rsidP="002A0952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013AD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What are the components of rocks and soils?</w:t>
            </w:r>
          </w:p>
          <w:p w:rsidR="002A0952" w:rsidRPr="00013ADB" w:rsidRDefault="002A0952" w:rsidP="002A0952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013AD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How is the age of geological materials determined?</w:t>
            </w:r>
          </w:p>
          <w:p w:rsidR="002A0952" w:rsidRPr="00316378" w:rsidRDefault="002A0952" w:rsidP="002A0952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013AD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How are non-renewable geological resources discovered and extracted?</w:t>
            </w:r>
          </w:p>
        </w:tc>
      </w:tr>
    </w:tbl>
    <w:p w:rsidR="002A0952" w:rsidRPr="00316378" w:rsidRDefault="002A0952" w:rsidP="002A0952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482"/>
        <w:gridCol w:w="3604"/>
        <w:gridCol w:w="4110"/>
        <w:gridCol w:w="34"/>
      </w:tblGrid>
      <w:tr w:rsidR="002A0952" w:rsidRPr="00316378" w:rsidTr="00D965BB">
        <w:trPr>
          <w:trHeight w:val="560"/>
        </w:trPr>
        <w:tc>
          <w:tcPr>
            <w:tcW w:w="76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D965BB" w:rsidP="002A095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lastRenderedPageBreak/>
              <w:t>Working Scientifically S</w:t>
            </w:r>
            <w:r w:rsidR="002A0952"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kills</w:t>
            </w:r>
          </w:p>
          <w:p w:rsidR="002A0952" w:rsidRPr="00316378" w:rsidRDefault="002A0952" w:rsidP="00D965BB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Questioning and Predicting - ESS11/12-1</w:t>
            </w:r>
          </w:p>
          <w:p w:rsidR="002A0952" w:rsidRPr="00D965BB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D965B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 develops and evaluates questions and hypotheses for scientific investigation</w:t>
            </w:r>
          </w:p>
          <w:p w:rsidR="002A0952" w:rsidRPr="00316378" w:rsidRDefault="002A0952" w:rsidP="002A095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16378">
              <w:rPr>
                <w:rFonts w:ascii="Arial" w:eastAsia="Calibri" w:hAnsi="Arial" w:cs="Arial"/>
                <w:sz w:val="20"/>
                <w:szCs w:val="20"/>
              </w:rPr>
              <w:t>Students: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develop and evaluate inquiry questions and hypotheses to identify a concept that can be investigated scientifically, involving primary and secondary data (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001,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061,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096)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modify questions and hypotheses to reflect new evidence</w:t>
            </w:r>
          </w:p>
          <w:p w:rsidR="002A0952" w:rsidRPr="00316378" w:rsidRDefault="002A0952" w:rsidP="00D965BB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Planning Investigations - ESS11/12-2</w:t>
            </w:r>
          </w:p>
          <w:p w:rsidR="002A0952" w:rsidRPr="00D965BB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D965B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 designs and evaluates investigations in order to obtain primary and secondary data and information</w:t>
            </w:r>
          </w:p>
          <w:p w:rsidR="002A0952" w:rsidRPr="00316378" w:rsidRDefault="002A0952" w:rsidP="002A09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Students: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assess risks, consider ethical issues and select appropriate materials and technologies when designing and planning an investigation (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031,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097)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justify and evaluate the use of variables and experimental controls to ensure that a valid procedure is developed that allows for the reliable collection of data (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002)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evaluate and modify an investigation in response to new evidence</w:t>
            </w:r>
          </w:p>
          <w:p w:rsidR="002A0952" w:rsidRPr="00316378" w:rsidRDefault="002A0952" w:rsidP="00D965BB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Problem Solving - ESS11/12-6</w:t>
            </w:r>
          </w:p>
          <w:p w:rsidR="002A0952" w:rsidRPr="00D965BB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D965B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 solves scientific problems using primary and secondary data, critical thinking skills and scientific processe</w:t>
            </w:r>
            <w:r w:rsidR="00847237" w:rsidRPr="00D965B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</w:t>
            </w:r>
          </w:p>
          <w:p w:rsidR="002A0952" w:rsidRPr="00316378" w:rsidRDefault="002A0952" w:rsidP="002A0952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Students: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use modelling (including mathematical examples) to explain phenomena, make predictions and solve problems using evidence from primary and secondary sources (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006,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010)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use scientific evidence and critical thinking skills to solve problems</w:t>
            </w:r>
          </w:p>
          <w:p w:rsidR="002A0952" w:rsidRPr="00316378" w:rsidRDefault="002A0952" w:rsidP="00D965BB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Communicating - ESS11/12-7</w:t>
            </w:r>
          </w:p>
          <w:p w:rsidR="002A0952" w:rsidRPr="00D965BB" w:rsidRDefault="002A0952" w:rsidP="00E3695A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D965BB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 communicates scientific understanding using suitable language and terminology for a specific audience or purpose</w:t>
            </w:r>
          </w:p>
          <w:p w:rsidR="002A0952" w:rsidRPr="00316378" w:rsidRDefault="002A0952" w:rsidP="002A09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Students: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select and use suitable forms of digital, visual, written and/or oral forms of communication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select and apply appropriate scientific notations, nomenclature and scientific language to communicate in a variety of contexts (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008,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036,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067,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102)</w:t>
            </w:r>
          </w:p>
          <w:p w:rsidR="002A0952" w:rsidRPr="00316378" w:rsidRDefault="002A0952" w:rsidP="002A0952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construct evidence-based arguments and engage in peer feedback to evaluate an argument or conclusion (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034, </w:t>
            </w:r>
            <w:r w:rsidR="00F50DE1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ACSES</w:t>
            </w: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036</w:t>
            </w:r>
            <w:bookmarkStart w:id="0" w:name="h.6welqaludrsd" w:colFirst="0" w:colLast="0"/>
            <w:bookmarkStart w:id="1" w:name="h.5ouvmto2a659" w:colFirst="0" w:colLast="0"/>
            <w:bookmarkStart w:id="2" w:name="h.npek219tvsfx" w:colFirst="0" w:colLast="0"/>
            <w:bookmarkStart w:id="3" w:name="h.a93ou6i24qed" w:colFirst="0" w:colLast="0"/>
            <w:bookmarkStart w:id="4" w:name="h.5kghpcyti520" w:colFirst="0" w:colLast="0"/>
            <w:bookmarkStart w:id="5" w:name="h.fwj92pn7vovf" w:colFirst="0" w:colLast="0"/>
            <w:bookmarkStart w:id="6" w:name="h.ltlhexvc82ih" w:colFirst="0" w:colLast="0"/>
            <w:bookmarkStart w:id="7" w:name="h.ifvxeihr97hy" w:colFirst="0" w:colLast="0"/>
            <w:bookmarkStart w:id="8" w:name="h.z0yhatz3oa9h" w:colFirst="0" w:colLast="0"/>
            <w:bookmarkStart w:id="9" w:name="h.hd6cz327eci5" w:colFirst="0" w:colLast="0"/>
            <w:bookmarkStart w:id="10" w:name="h.efvrqc6e4gcs" w:colFirst="0" w:colLast="0"/>
            <w:bookmarkStart w:id="11" w:name="h.dhvi7wv6i5yp" w:colFirst="0" w:colLast="0"/>
            <w:bookmarkStart w:id="12" w:name="h.irkqw1t3oqiw" w:colFirst="0" w:colLast="0"/>
            <w:bookmarkStart w:id="13" w:name="h.z4upjs51n4p1" w:colFirst="0" w:colLast="0"/>
            <w:bookmarkStart w:id="14" w:name="h.i2j4tqssj3fc" w:colFirst="0" w:colLast="0"/>
            <w:bookmarkStart w:id="15" w:name="h.se3k9t2kizcv" w:colFirst="0" w:colLast="0"/>
            <w:bookmarkStart w:id="16" w:name="h.3s1eq1md44wp" w:colFirst="0" w:colLast="0"/>
            <w:bookmarkStart w:id="17" w:name="h.95ibrwf47bhj" w:colFirst="0" w:colLast="0"/>
            <w:bookmarkStart w:id="18" w:name="h.eteqpmio87xm" w:colFirst="0" w:colLast="0"/>
            <w:bookmarkStart w:id="19" w:name="h.jy65mbnu3xj7" w:colFirst="0" w:colLast="0"/>
            <w:bookmarkStart w:id="20" w:name="h.kdhgih3sr7uf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847237"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74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Default="00C332FD" w:rsidP="00D3542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3542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Targeted</w:t>
            </w:r>
            <w:r w:rsidR="00D35429" w:rsidRPr="00D3542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D35429"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Working Scientifically skills</w:t>
            </w:r>
          </w:p>
          <w:p w:rsidR="00D35429" w:rsidRPr="00316378" w:rsidRDefault="00D35429" w:rsidP="00927897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Conducting Investigations - ESS11/12-3</w:t>
            </w:r>
          </w:p>
          <w:p w:rsidR="00D35429" w:rsidRPr="00927897" w:rsidRDefault="00D35429" w:rsidP="00D35429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927897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 conducts investigations to collect valid and reliable primary and secondary data and information</w:t>
            </w:r>
          </w:p>
          <w:p w:rsidR="00D35429" w:rsidRPr="00316378" w:rsidRDefault="00D35429" w:rsidP="00D354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Students: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employ and evaluate safe work practices and manage risks (ACSES031)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use appropriate technologies to ensure and evaluate accuracy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select and extract information from a wide range of reliable secondary sources and acknowledge them using an accepted referencing style</w:t>
            </w:r>
          </w:p>
          <w:p w:rsidR="00D35429" w:rsidRPr="00316378" w:rsidRDefault="00D35429" w:rsidP="00927897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Processing Data and Information - ESS11/12-4</w:t>
            </w:r>
          </w:p>
          <w:p w:rsidR="00D35429" w:rsidRPr="00927897" w:rsidRDefault="00D35429" w:rsidP="00D35429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927897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 selects and processes appropriate qualitative and quantitative data and information using a range of appropriate media</w:t>
            </w:r>
          </w:p>
          <w:p w:rsidR="00D35429" w:rsidRPr="00316378" w:rsidRDefault="00D35429" w:rsidP="00D35429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Students: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select qualitative and quantitative data and information and represent them using a range of formats, digital technologies and appropriate media (ACSES004, ACSES007, ACSES064, ACSES101)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apply quantitative processes where appropriate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evaluate and improve the quality of data</w:t>
            </w:r>
          </w:p>
          <w:p w:rsidR="00D35429" w:rsidRPr="00316378" w:rsidRDefault="00D35429" w:rsidP="00927897">
            <w:pPr>
              <w:spacing w:before="20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Analysing Data and Information - ESS11/12-5</w:t>
            </w:r>
          </w:p>
          <w:p w:rsidR="00D35429" w:rsidRPr="00927897" w:rsidRDefault="00D35429" w:rsidP="00D35429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927897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 student analyses and evaluates primary and secondary data and information</w:t>
            </w:r>
          </w:p>
          <w:p w:rsidR="00D35429" w:rsidRPr="00316378" w:rsidRDefault="00D35429" w:rsidP="00D35429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Students: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derive trends, patterns and relationships in data and information</w:t>
            </w:r>
          </w:p>
          <w:p w:rsidR="00D35429" w:rsidRPr="00316378" w:rsidRDefault="00D35429" w:rsidP="00D35429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assess error, uncertainty and limitations in data (ACSES004, ACSES005, ACSES033, ACSES099)</w:t>
            </w:r>
          </w:p>
          <w:p w:rsidR="002A0952" w:rsidRPr="00316378" w:rsidRDefault="00D35429" w:rsidP="00C13FCD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assess the relevance, accuracy, validity and reliability of primary and secondary data and suggest improvements to investigations (ACSES005)</w:t>
            </w:r>
          </w:p>
        </w:tc>
      </w:tr>
      <w:tr w:rsidR="002A0952" w:rsidRPr="00316378" w:rsidTr="00D965BB">
        <w:trPr>
          <w:gridAfter w:val="1"/>
          <w:wAfter w:w="34" w:type="dxa"/>
          <w:tblHeader/>
        </w:trPr>
        <w:tc>
          <w:tcPr>
            <w:tcW w:w="1536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4D27C8">
            <w:pPr>
              <w:pStyle w:val="Heading4"/>
              <w:spacing w:before="0" w:after="0"/>
              <w:contextualSpacing w:val="0"/>
              <w:rPr>
                <w:sz w:val="20"/>
                <w:szCs w:val="20"/>
              </w:rPr>
            </w:pPr>
            <w:r w:rsidRPr="00316378">
              <w:rPr>
                <w:sz w:val="20"/>
                <w:szCs w:val="20"/>
              </w:rPr>
              <w:t>Topic:</w:t>
            </w:r>
            <w:r w:rsidRPr="00316378">
              <w:rPr>
                <w:sz w:val="20"/>
                <w:szCs w:val="20"/>
                <w:highlight w:val="white"/>
              </w:rPr>
              <w:t xml:space="preserve"> Structure of the Earth, the Early Geosphere, Atmosphere and Hydrosphere</w:t>
            </w:r>
          </w:p>
        </w:tc>
      </w:tr>
      <w:tr w:rsidR="002A0952" w:rsidRPr="00316378" w:rsidTr="00D965BB">
        <w:trPr>
          <w:gridAfter w:val="1"/>
          <w:wAfter w:w="34" w:type="dxa"/>
          <w:tblHeader/>
        </w:trPr>
        <w:tc>
          <w:tcPr>
            <w:tcW w:w="1536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4D2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 xml:space="preserve">Inquiry question: </w:t>
            </w:r>
            <w:r w:rsidRPr="00D35429">
              <w:rPr>
                <w:rFonts w:ascii="Arial" w:hAnsi="Arial" w:cs="Arial"/>
                <w:sz w:val="20"/>
                <w:szCs w:val="20"/>
              </w:rPr>
              <w:t>How did the compositional layers of the Earth develop?</w:t>
            </w:r>
          </w:p>
        </w:tc>
      </w:tr>
      <w:tr w:rsidR="002A0952" w:rsidRPr="00316378" w:rsidTr="00D965BB">
        <w:trPr>
          <w:gridAfter w:val="1"/>
          <w:wAfter w:w="34" w:type="dxa"/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4D27C8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70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2A0952" w:rsidP="004D27C8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Teaching, learning and assessment</w:t>
            </w:r>
          </w:p>
        </w:tc>
        <w:tc>
          <w:tcPr>
            <w:tcW w:w="41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D35429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2A0952" w:rsidRPr="00316378" w:rsidTr="00D965BB">
        <w:trPr>
          <w:gridAfter w:val="1"/>
          <w:wAfter w:w="34" w:type="dxa"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A0952" w:rsidRPr="00316378" w:rsidRDefault="002A0952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investigate and model the processes that formed the geosphere (ACSES018), atmosphere (ACSES022) and hydrosphere (ACSES023)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6095F1A5" wp14:editId="73642E31">
                  <wp:extent cx="133350" cy="104775"/>
                  <wp:effectExtent l="0" t="0" r="0" b="0"/>
                  <wp:docPr id="237" name="image279.png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9.png" title=" Information and communication technology capability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CA3FEC" w:rsidP="00D86501">
            <w:pPr>
              <w:numPr>
                <w:ilvl w:val="0"/>
                <w:numId w:val="9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use secondary resources, eg </w:t>
            </w:r>
            <w:r w:rsidR="002B7DC1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video </w:t>
            </w:r>
            <w:r w:rsidR="002B7DC1" w:rsidRPr="00316378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Space (Star Stuff </w:t>
            </w:r>
            <w:proofErr w:type="spellStart"/>
            <w:r w:rsidR="002B7DC1" w:rsidRPr="00316378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ep</w:t>
            </w:r>
            <w:proofErr w:type="spellEnd"/>
            <w:r w:rsidR="002B7DC1" w:rsidRPr="00316378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 1)</w:t>
            </w:r>
            <w:r w:rsidR="00E6296C" w:rsidRPr="00316378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 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to </w:t>
            </w:r>
            <w:r w:rsidR="002B7DC1" w:rsidRPr="00316378">
              <w:rPr>
                <w:rFonts w:ascii="Arial" w:hAnsi="Arial" w:cs="Arial"/>
                <w:sz w:val="20"/>
                <w:szCs w:val="20"/>
              </w:rPr>
              <w:t>describe the formation of the Earth and universe using the terms:</w:t>
            </w:r>
            <w:r w:rsidR="00D436DA"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6DA"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654CF32D" wp14:editId="5419FC68">
                  <wp:extent cx="133350" cy="104775"/>
                  <wp:effectExtent l="0" t="0" r="0" b="0"/>
                  <wp:docPr id="151" name="image190.png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.png" title=" Information and communication technology capability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7DC1" w:rsidRPr="00316378" w:rsidRDefault="002B7DC1" w:rsidP="00F448B7">
            <w:pPr>
              <w:pStyle w:val="ListBullet2"/>
              <w:ind w:left="792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gravity</w:t>
            </w:r>
          </w:p>
          <w:p w:rsidR="002B7DC1" w:rsidRPr="00316378" w:rsidRDefault="002B7DC1" w:rsidP="00F448B7">
            <w:pPr>
              <w:pStyle w:val="ListBullet2"/>
              <w:ind w:left="792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accretion</w:t>
            </w:r>
          </w:p>
          <w:p w:rsidR="002B7DC1" w:rsidRPr="00316378" w:rsidRDefault="002B7DC1" w:rsidP="00F448B7">
            <w:pPr>
              <w:pStyle w:val="ListBullet2"/>
              <w:ind w:left="792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differentiation</w:t>
            </w:r>
          </w:p>
          <w:p w:rsidR="00CA3FEC" w:rsidRPr="00316378" w:rsidRDefault="00CA3FEC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outline how this model of Earth’s formation accounts for the </w:t>
            </w:r>
            <w:r w:rsidR="00E6296C" w:rsidRPr="00316378">
              <w:rPr>
                <w:rFonts w:ascii="Arial" w:hAnsi="Arial" w:cs="Arial"/>
                <w:sz w:val="20"/>
                <w:szCs w:val="20"/>
              </w:rPr>
              <w:t>formation and distribution of the geosphere, atmosphere and hydrosphere</w:t>
            </w:r>
          </w:p>
        </w:tc>
        <w:tc>
          <w:tcPr>
            <w:tcW w:w="41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0952" w:rsidRPr="00316378" w:rsidRDefault="00D35429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video </w:t>
            </w:r>
            <w:r w:rsidRPr="00316378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Space (Star Stuff </w:t>
            </w:r>
            <w:proofErr w:type="spellStart"/>
            <w:r w:rsidRPr="00316378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ep</w:t>
            </w:r>
            <w:proofErr w:type="spellEnd"/>
            <w:r w:rsidRPr="00316378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 1) </w:t>
            </w:r>
            <w:hyperlink r:id="rId12">
              <w:r w:rsidRPr="00316378">
                <w:rPr>
                  <w:rFonts w:ascii="Arial" w:hAnsi="Arial" w:cs="Arial"/>
                  <w:i/>
                  <w:color w:val="1155CC"/>
                  <w:sz w:val="20"/>
                  <w:szCs w:val="20"/>
                  <w:u w:val="single"/>
                  <w:lang w:eastAsia="en-AU"/>
                </w:rPr>
                <w:t>http://www.dailymotion.com/video/x11afti_space-with-sam-neill-episode-1-star-stuff_tech</w:t>
              </w:r>
            </w:hyperlink>
            <w:r w:rsidRPr="00316378">
              <w:rPr>
                <w:rFonts w:ascii="Arial" w:hAnsi="Arial" w:cs="Arial"/>
                <w:i/>
                <w:color w:val="1155CC"/>
                <w:sz w:val="20"/>
                <w:szCs w:val="20"/>
                <w:u w:val="single"/>
                <w:lang w:eastAsia="en-AU"/>
              </w:rPr>
              <w:t xml:space="preserve">  </w:t>
            </w:r>
          </w:p>
        </w:tc>
      </w:tr>
      <w:tr w:rsidR="002B7DC1" w:rsidRPr="00316378" w:rsidTr="00D965BB">
        <w:trPr>
          <w:gridAfter w:val="1"/>
          <w:wAfter w:w="34" w:type="dxa"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B7DC1" w:rsidRPr="00316378" w:rsidRDefault="002B7DC1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investigate evidence for the structure of the Earth using technologies, including:</w:t>
            </w:r>
          </w:p>
          <w:p w:rsidR="002B7DC1" w:rsidRPr="00316378" w:rsidRDefault="002B7DC1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seismic wave velocities</w:t>
            </w:r>
            <w:r w:rsidR="00DC6EB5" w:rsidRPr="00316378">
              <w:rPr>
                <w:rFonts w:cs="Arial"/>
                <w:szCs w:val="20"/>
              </w:rPr>
              <w:t xml:space="preserve"> </w:t>
            </w:r>
            <w:r w:rsidR="00DC6EB5" w:rsidRPr="00316378">
              <w:rPr>
                <w:rFonts w:cs="Arial"/>
                <w:noProof/>
                <w:szCs w:val="20"/>
                <w:lang w:eastAsia="en-AU"/>
              </w:rPr>
              <w:drawing>
                <wp:inline distT="114300" distB="114300" distL="114300" distR="114300" wp14:anchorId="03F513AD" wp14:editId="6C008AEB">
                  <wp:extent cx="123825" cy="104775"/>
                  <wp:effectExtent l="0" t="0" r="0" b="0"/>
                  <wp:docPr id="2" name="image228.png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.png" title="Critical and creative thinking ic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C6EB5" w:rsidRPr="00316378">
              <w:rPr>
                <w:rFonts w:cs="Arial"/>
                <w:szCs w:val="20"/>
              </w:rPr>
              <w:t xml:space="preserve"> </w:t>
            </w:r>
            <w:r w:rsidR="00DC6EB5" w:rsidRPr="00316378">
              <w:rPr>
                <w:rFonts w:cs="Arial"/>
                <w:noProof/>
                <w:szCs w:val="20"/>
                <w:lang w:eastAsia="en-AU"/>
              </w:rPr>
              <w:drawing>
                <wp:inline distT="0" distB="0" distL="0" distR="0" wp14:anchorId="6BDE469D" wp14:editId="4947EECB">
                  <wp:extent cx="133985" cy="103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6EB5" w:rsidRPr="00316378">
              <w:rPr>
                <w:rFonts w:cs="Arial"/>
                <w:szCs w:val="20"/>
              </w:rPr>
              <w:t xml:space="preserve"> </w:t>
            </w:r>
            <w:r w:rsidR="00DC6EB5" w:rsidRPr="00316378">
              <w:rPr>
                <w:rFonts w:cs="Arial"/>
                <w:noProof/>
                <w:szCs w:val="20"/>
                <w:lang w:eastAsia="en-AU"/>
              </w:rPr>
              <w:drawing>
                <wp:inline distT="0" distB="0" distL="0" distR="0" wp14:anchorId="67A0C207" wp14:editId="1D40700B">
                  <wp:extent cx="79375" cy="103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DC1" w:rsidRPr="00316378" w:rsidRDefault="002B7DC1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meteorite evidence to demonstrate differences in density and composition (ACSES009,</w:t>
            </w:r>
            <w:r w:rsidR="00013ADB">
              <w:rPr>
                <w:rFonts w:cs="Arial"/>
                <w:szCs w:val="20"/>
              </w:rPr>
              <w:t xml:space="preserve"> </w:t>
            </w:r>
            <w:r w:rsidRPr="00316378">
              <w:rPr>
                <w:rFonts w:cs="Arial"/>
                <w:szCs w:val="20"/>
              </w:rPr>
              <w:t>ACSES018)</w:t>
            </w:r>
            <w:r w:rsidR="00DC6EB5" w:rsidRPr="00316378">
              <w:rPr>
                <w:rFonts w:cs="Arial"/>
                <w:noProof/>
                <w:szCs w:val="20"/>
              </w:rPr>
              <w:t xml:space="preserve"> </w:t>
            </w:r>
            <w:r w:rsidR="00DC6EB5" w:rsidRPr="00316378">
              <w:rPr>
                <w:rFonts w:cs="Arial"/>
                <w:noProof/>
                <w:szCs w:val="20"/>
                <w:lang w:eastAsia="en-AU"/>
              </w:rPr>
              <w:drawing>
                <wp:inline distT="0" distB="0" distL="0" distR="0" wp14:anchorId="4C17263E" wp14:editId="2F2306F8">
                  <wp:extent cx="79375" cy="103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Pr="00316378" w:rsidRDefault="00E6296C" w:rsidP="00D86501">
            <w:pPr>
              <w:numPr>
                <w:ilvl w:val="0"/>
                <w:numId w:val="9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o</w:t>
            </w:r>
            <w:r w:rsidR="002B7DC1" w:rsidRPr="00316378">
              <w:rPr>
                <w:rFonts w:ascii="Arial" w:hAnsi="Arial" w:cs="Arial"/>
                <w:sz w:val="20"/>
                <w:szCs w:val="20"/>
              </w:rPr>
              <w:t xml:space="preserve">bserve and interpret graphs of seismic wave velocities to view changes at the </w:t>
            </w:r>
            <w:proofErr w:type="spellStart"/>
            <w:r w:rsidR="00C07F03">
              <w:rPr>
                <w:rFonts w:ascii="Arial" w:hAnsi="Arial" w:cs="Arial"/>
                <w:color w:val="222222"/>
                <w:shd w:val="clear" w:color="auto" w:fill="FFFFFF"/>
              </w:rPr>
              <w:t>Mohorovičić</w:t>
            </w:r>
            <w:proofErr w:type="spellEnd"/>
            <w:r w:rsidR="00C07F03">
              <w:rPr>
                <w:rFonts w:ascii="Arial" w:hAnsi="Arial" w:cs="Arial"/>
                <w:color w:val="222222"/>
                <w:shd w:val="clear" w:color="auto" w:fill="FFFFFF"/>
              </w:rPr>
              <w:t xml:space="preserve"> discontinuity (</w:t>
            </w:r>
            <w:r w:rsidR="002B7DC1" w:rsidRPr="00316378">
              <w:rPr>
                <w:rFonts w:ascii="Arial" w:hAnsi="Arial" w:cs="Arial"/>
                <w:sz w:val="20"/>
                <w:szCs w:val="20"/>
              </w:rPr>
              <w:t>MOHO</w:t>
            </w:r>
            <w:r w:rsidR="00C07F03">
              <w:rPr>
                <w:rFonts w:ascii="Arial" w:hAnsi="Arial" w:cs="Arial"/>
                <w:sz w:val="20"/>
                <w:szCs w:val="20"/>
              </w:rPr>
              <w:t>)</w:t>
            </w:r>
            <w:r w:rsidR="002B7DC1" w:rsidRPr="00316378">
              <w:rPr>
                <w:rFonts w:ascii="Arial" w:hAnsi="Arial" w:cs="Arial"/>
                <w:sz w:val="20"/>
                <w:szCs w:val="20"/>
              </w:rPr>
              <w:t xml:space="preserve"> and sphere boundaries</w:t>
            </w:r>
            <w:r w:rsidR="00D436DA"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6DA"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DCF27E4" wp14:editId="3F3A40D3">
                  <wp:extent cx="121920" cy="1035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96C" w:rsidRPr="00316378" w:rsidRDefault="00E6296C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analyse the types of information that can be gained by these</w:t>
            </w:r>
            <w:r w:rsidR="002B7DC1" w:rsidRPr="00316378">
              <w:rPr>
                <w:rFonts w:ascii="Arial" w:hAnsi="Arial" w:cs="Arial"/>
                <w:sz w:val="20"/>
                <w:szCs w:val="20"/>
              </w:rPr>
              <w:t xml:space="preserve"> direct methods of observation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6296C" w:rsidRPr="00316378" w:rsidRDefault="00E6296C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mines and boreholes</w:t>
            </w:r>
          </w:p>
          <w:p w:rsidR="00E6296C" w:rsidRPr="00316378" w:rsidRDefault="00E6296C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geothermal gradient</w:t>
            </w:r>
          </w:p>
          <w:p w:rsidR="00E6296C" w:rsidRPr="00316378" w:rsidRDefault="002B7DC1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volca</w:t>
            </w:r>
            <w:r w:rsidR="00E6296C" w:rsidRPr="00316378">
              <w:rPr>
                <w:rFonts w:cs="Arial"/>
                <w:szCs w:val="20"/>
              </w:rPr>
              <w:t>noes bringing magma from depth</w:t>
            </w:r>
          </w:p>
          <w:p w:rsidR="00E6296C" w:rsidRPr="00316378" w:rsidRDefault="002B7DC1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proofErr w:type="spellStart"/>
            <w:r w:rsidRPr="00316378">
              <w:rPr>
                <w:rFonts w:cs="Arial"/>
                <w:szCs w:val="20"/>
              </w:rPr>
              <w:t>Ophiolite</w:t>
            </w:r>
            <w:proofErr w:type="spellEnd"/>
            <w:r w:rsidRPr="00316378">
              <w:rPr>
                <w:rFonts w:cs="Arial"/>
                <w:szCs w:val="20"/>
              </w:rPr>
              <w:t xml:space="preserve"> suites and indirect methods of observation</w:t>
            </w:r>
          </w:p>
          <w:p w:rsidR="00E6296C" w:rsidRPr="00316378" w:rsidRDefault="00E6296C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seismic wave velocities</w:t>
            </w:r>
          </w:p>
          <w:p w:rsidR="00E6296C" w:rsidRPr="00316378" w:rsidRDefault="00E6296C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shadow zones</w:t>
            </w:r>
          </w:p>
          <w:p w:rsidR="00E6296C" w:rsidRPr="00316378" w:rsidRDefault="002B7DC1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average den</w:t>
            </w:r>
            <w:r w:rsidR="00E6296C" w:rsidRPr="00316378">
              <w:rPr>
                <w:rFonts w:cs="Arial"/>
                <w:szCs w:val="20"/>
              </w:rPr>
              <w:t>sities</w:t>
            </w:r>
          </w:p>
          <w:p w:rsidR="002B7DC1" w:rsidRPr="00316378" w:rsidRDefault="00E6296C" w:rsidP="00F448B7">
            <w:pPr>
              <w:pStyle w:val="ListBullet2"/>
              <w:ind w:left="792" w:hanging="42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meteorites</w:t>
            </w:r>
          </w:p>
        </w:tc>
        <w:tc>
          <w:tcPr>
            <w:tcW w:w="41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A29" w:rsidRDefault="0095318F" w:rsidP="00F443B5">
            <w:pPr>
              <w:spacing w:after="1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Seismic waves from Sumatra 2004 </w:t>
            </w:r>
            <w:hyperlink r:id="rId17" w:history="1">
              <w:r w:rsidRPr="0095318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http://ds.iris.edu/seismon/swaves/</w:t>
              </w:r>
            </w:hyperlink>
          </w:p>
          <w:p w:rsidR="00FD5A29" w:rsidRPr="00316378" w:rsidRDefault="00FD5A29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Meteorites </w:t>
            </w:r>
            <w:hyperlink r:id="rId18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http://www.tulane.edu/~sanelson/Natural_Disasters/impacts.htm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7DC1" w:rsidRPr="00316378" w:rsidTr="00D965BB">
        <w:trPr>
          <w:gridAfter w:val="1"/>
          <w:wAfter w:w="34" w:type="dxa"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B7DC1" w:rsidRPr="00316378" w:rsidRDefault="002B7DC1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conduct a practical investigation to compare the differences in the density of representative rock samples found in the crust, mantle and core (ACSES003)</w:t>
            </w:r>
            <w:r w:rsidR="00DC6EB5"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EB5"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38D5C72E" wp14:editId="7C46F218">
                  <wp:extent cx="76200" cy="104775"/>
                  <wp:effectExtent l="0" t="0" r="0" b="0"/>
                  <wp:docPr id="6" name="image287.png" title="Num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7.png" title="Numeracy ico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Pr="00316378" w:rsidRDefault="002B7DC1" w:rsidP="00D86501">
            <w:pPr>
              <w:numPr>
                <w:ilvl w:val="0"/>
                <w:numId w:val="9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investigate the density of different liquids and obse</w:t>
            </w:r>
            <w:r w:rsidR="00BC5F87" w:rsidRPr="00316378">
              <w:rPr>
                <w:rFonts w:ascii="Arial" w:hAnsi="Arial" w:cs="Arial"/>
                <w:sz w:val="20"/>
                <w:szCs w:val="20"/>
              </w:rPr>
              <w:t xml:space="preserve">rve their behaviour when mixed, </w:t>
            </w:r>
            <w:r w:rsidRPr="00316378">
              <w:rPr>
                <w:rFonts w:ascii="Arial" w:hAnsi="Arial" w:cs="Arial"/>
                <w:sz w:val="20"/>
                <w:szCs w:val="20"/>
              </w:rPr>
              <w:t>e</w:t>
            </w:r>
            <w:r w:rsidR="00BC5F87" w:rsidRPr="00316378">
              <w:rPr>
                <w:rFonts w:ascii="Arial" w:hAnsi="Arial" w:cs="Arial"/>
                <w:sz w:val="20"/>
                <w:szCs w:val="20"/>
              </w:rPr>
              <w:t>g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mixtu</w:t>
            </w:r>
            <w:r w:rsidR="00BC5F87" w:rsidRPr="00316378">
              <w:rPr>
                <w:rFonts w:ascii="Arial" w:hAnsi="Arial" w:cs="Arial"/>
                <w:sz w:val="20"/>
                <w:szCs w:val="20"/>
              </w:rPr>
              <w:t>re of oil, water and corn syrup</w:t>
            </w:r>
          </w:p>
          <w:p w:rsidR="00BC5F87" w:rsidRPr="00316378" w:rsidRDefault="00DC6EB5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378">
              <w:rPr>
                <w:rFonts w:ascii="Arial" w:hAnsi="Arial" w:cs="Arial"/>
                <w:sz w:val="20"/>
                <w:szCs w:val="20"/>
              </w:rPr>
              <w:t>calculate</w:t>
            </w:r>
            <w:proofErr w:type="gramEnd"/>
            <w:r w:rsidRPr="00316378">
              <w:rPr>
                <w:rFonts w:ascii="Arial" w:hAnsi="Arial" w:cs="Arial"/>
                <w:sz w:val="20"/>
                <w:szCs w:val="20"/>
              </w:rPr>
              <w:t xml:space="preserve"> the density (D= M/V) of granite (Continental crust), basalt (oceanic crust), olivine (mantle) and haematite (core) using balances and displacement cans/measuring cylind</w:t>
            </w:r>
            <w:r w:rsidR="00BC5F87" w:rsidRPr="00316378">
              <w:rPr>
                <w:rFonts w:ascii="Arial" w:hAnsi="Arial" w:cs="Arial"/>
                <w:sz w:val="20"/>
                <w:szCs w:val="20"/>
              </w:rPr>
              <w:t>ers.</w:t>
            </w:r>
          </w:p>
          <w:p w:rsidR="002B7DC1" w:rsidRPr="00316378" w:rsidRDefault="00BC5F87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u</w:t>
            </w:r>
            <w:r w:rsidR="00DC6EB5" w:rsidRPr="00316378">
              <w:rPr>
                <w:rFonts w:ascii="Arial" w:hAnsi="Arial" w:cs="Arial"/>
                <w:sz w:val="20"/>
                <w:szCs w:val="20"/>
              </w:rPr>
              <w:t>s</w:t>
            </w:r>
            <w:r w:rsidRPr="00316378">
              <w:rPr>
                <w:rFonts w:ascii="Arial" w:hAnsi="Arial" w:cs="Arial"/>
                <w:sz w:val="20"/>
                <w:szCs w:val="20"/>
              </w:rPr>
              <w:t>e</w:t>
            </w:r>
            <w:r w:rsidR="00DC6EB5" w:rsidRPr="00316378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Pr="00316378">
              <w:rPr>
                <w:rFonts w:ascii="Arial" w:hAnsi="Arial" w:cs="Arial"/>
                <w:sz w:val="20"/>
                <w:szCs w:val="20"/>
              </w:rPr>
              <w:t>is</w:t>
            </w:r>
            <w:r w:rsidR="00DC6EB5" w:rsidRPr="00316378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 w:rsidRPr="00316378">
              <w:rPr>
                <w:rFonts w:ascii="Arial" w:hAnsi="Arial" w:cs="Arial"/>
                <w:sz w:val="20"/>
                <w:szCs w:val="20"/>
              </w:rPr>
              <w:t>to explain the occurrence of</w:t>
            </w:r>
            <w:r w:rsidR="00354448" w:rsidRPr="00316378">
              <w:rPr>
                <w:rFonts w:ascii="Arial" w:hAnsi="Arial" w:cs="Arial"/>
                <w:sz w:val="20"/>
                <w:szCs w:val="20"/>
              </w:rPr>
              <w:t xml:space="preserve"> layers within Earth</w:t>
            </w:r>
          </w:p>
        </w:tc>
        <w:tc>
          <w:tcPr>
            <w:tcW w:w="41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Pr="00316378" w:rsidRDefault="00CF790D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Oil, water, corn syrup, measuring cylinder</w:t>
            </w:r>
          </w:p>
        </w:tc>
      </w:tr>
      <w:tr w:rsidR="00BC5F87" w:rsidRPr="00316378" w:rsidTr="00D965BB">
        <w:trPr>
          <w:gridAfter w:val="1"/>
          <w:wAfter w:w="34" w:type="dxa"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BC5F87" w:rsidRPr="00316378" w:rsidRDefault="00BC5F87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describe the compositional layers and thickness of the Earth’s layers, including: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C28060" wp14:editId="68C3ADE0">
                  <wp:extent cx="133985" cy="1035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35F263C3" wp14:editId="2EE9ED35">
                  <wp:extent cx="133350" cy="104775"/>
                  <wp:effectExtent l="0" t="0" r="0" b="0"/>
                  <wp:docPr id="10" name="image341.png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1.png" title="Literacy icon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5F3DDB06" wp14:editId="63086E0A">
                  <wp:extent cx="76200" cy="104775"/>
                  <wp:effectExtent l="0" t="0" r="0" b="0"/>
                  <wp:docPr id="11" name="image287.png" title="Num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7.png" title="Numeracy ico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5F87" w:rsidRPr="00316378" w:rsidRDefault="00BC5F87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lithosphere (ACSES015)</w:t>
            </w:r>
          </w:p>
          <w:p w:rsidR="00BC5F87" w:rsidRPr="00316378" w:rsidRDefault="00BC5F87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asthenosphere</w:t>
            </w:r>
          </w:p>
          <w:p w:rsidR="00BC5F87" w:rsidRPr="00316378" w:rsidRDefault="00BC5F87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crust, mantle and core and their compositional layers (ACSES006)</w:t>
            </w:r>
          </w:p>
        </w:tc>
        <w:tc>
          <w:tcPr>
            <w:tcW w:w="70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F87" w:rsidRPr="00316378" w:rsidRDefault="00BC5F87" w:rsidP="00D86501">
            <w:pPr>
              <w:numPr>
                <w:ilvl w:val="0"/>
                <w:numId w:val="9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explore how the shadow zones of P and S wave patterns provide evidence concerning the structure of the Earth</w:t>
            </w:r>
          </w:p>
          <w:p w:rsidR="00BC5F87" w:rsidRPr="00316378" w:rsidRDefault="00BC5F87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construct a table to compare the layers of the Earth in terms of composition and thickness</w:t>
            </w:r>
          </w:p>
          <w:p w:rsidR="00BC5F87" w:rsidRPr="00316378" w:rsidRDefault="00354448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634701" w:rsidRPr="00316378">
              <w:rPr>
                <w:rFonts w:ascii="Arial" w:hAnsi="Arial" w:cs="Arial"/>
                <w:sz w:val="20"/>
                <w:szCs w:val="20"/>
              </w:rPr>
              <w:t xml:space="preserve">a suitable technology, </w:t>
            </w:r>
            <w:r w:rsidR="00BC5F87" w:rsidRPr="00316378">
              <w:rPr>
                <w:rFonts w:ascii="Arial" w:hAnsi="Arial" w:cs="Arial"/>
                <w:sz w:val="20"/>
                <w:szCs w:val="20"/>
              </w:rPr>
              <w:t>construct a cross sectional, model of the Earth to scale to clearly show the relative thickness and composition of the layers of the Earth</w:t>
            </w:r>
          </w:p>
        </w:tc>
        <w:tc>
          <w:tcPr>
            <w:tcW w:w="41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F87" w:rsidRPr="00316378" w:rsidRDefault="00FD5A29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Layers of the Earth </w:t>
            </w:r>
            <w:hyperlink r:id="rId21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https://sites.google.com/site/missiontomarsatvssec/home/mission-background-briefing-students/earth-vs-mars/structure-of-the-earth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7DC1" w:rsidRPr="00316378" w:rsidTr="00D965BB">
        <w:trPr>
          <w:gridAfter w:val="1"/>
          <w:wAfter w:w="34" w:type="dxa"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B7DC1" w:rsidRPr="00316378" w:rsidRDefault="002B7DC1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analyse evidence of the Earth’s age, including:</w:t>
            </w:r>
            <w:r w:rsidR="00DC6EB5"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EB5"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55724EF2" wp14:editId="1D4B8789">
                  <wp:extent cx="123825" cy="104775"/>
                  <wp:effectExtent l="0" t="0" r="0" b="0"/>
                  <wp:docPr id="53" name="image94.png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png" title="Critical and creative thinking ic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7DC1" w:rsidRPr="00316378" w:rsidRDefault="002B7DC1" w:rsidP="00847237">
            <w:pPr>
              <w:pStyle w:val="ListBullet2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formation and age of zircon crystals</w:t>
            </w:r>
            <w:r w:rsidR="00DC6EB5" w:rsidRPr="00316378">
              <w:rPr>
                <w:rFonts w:cs="Arial"/>
                <w:szCs w:val="20"/>
              </w:rPr>
              <w:t xml:space="preserve"> </w:t>
            </w:r>
            <w:r w:rsidR="00DC6EB5" w:rsidRPr="00316378">
              <w:rPr>
                <w:rFonts w:cs="Arial"/>
                <w:noProof/>
                <w:szCs w:val="20"/>
                <w:lang w:eastAsia="en-AU"/>
              </w:rPr>
              <w:drawing>
                <wp:inline distT="114300" distB="114300" distL="114300" distR="114300" wp14:anchorId="759B62A4" wp14:editId="65241F8B">
                  <wp:extent cx="76200" cy="104775"/>
                  <wp:effectExtent l="0" t="0" r="0" b="0"/>
                  <wp:docPr id="7" name="image287.png" title="Num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7.png" title="Numeracy ico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7DC1" w:rsidRPr="00316378" w:rsidRDefault="002B7DC1" w:rsidP="00847237">
            <w:pPr>
              <w:pStyle w:val="ListBullet2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radiometric techniques</w:t>
            </w:r>
            <w:r w:rsidR="00DC6EB5" w:rsidRPr="00316378">
              <w:rPr>
                <w:rFonts w:cs="Arial"/>
                <w:szCs w:val="20"/>
              </w:rPr>
              <w:t xml:space="preserve"> </w:t>
            </w:r>
            <w:r w:rsidR="00DC6EB5" w:rsidRPr="00316378">
              <w:rPr>
                <w:rFonts w:cs="Arial"/>
                <w:noProof/>
                <w:szCs w:val="20"/>
                <w:lang w:eastAsia="en-AU"/>
              </w:rPr>
              <w:drawing>
                <wp:inline distT="114300" distB="114300" distL="114300" distR="114300" wp14:anchorId="35DAFBFA" wp14:editId="2D016F8D">
                  <wp:extent cx="76200" cy="104775"/>
                  <wp:effectExtent l="0" t="0" r="0" b="0"/>
                  <wp:docPr id="8" name="image287.png" title="Num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7.png" title="Numeracy ico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7DC1" w:rsidRPr="00316378" w:rsidRDefault="002B7DC1" w:rsidP="00847237">
            <w:pPr>
              <w:pStyle w:val="ListBullet2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meteorite evidence (ACSES009)</w:t>
            </w:r>
          </w:p>
        </w:tc>
        <w:tc>
          <w:tcPr>
            <w:tcW w:w="70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Pr="00316378" w:rsidRDefault="003B3FA2" w:rsidP="00D86501">
            <w:pPr>
              <w:numPr>
                <w:ilvl w:val="0"/>
                <w:numId w:val="9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investigate </w:t>
            </w:r>
            <w:r w:rsidR="00847237" w:rsidRPr="00316378">
              <w:rPr>
                <w:rFonts w:ascii="Arial" w:hAnsi="Arial" w:cs="Arial"/>
                <w:sz w:val="20"/>
                <w:szCs w:val="20"/>
              </w:rPr>
              <w:t>ways in which the age of the Earth can be determined</w:t>
            </w:r>
          </w:p>
          <w:p w:rsidR="00847237" w:rsidRPr="00316378" w:rsidRDefault="00847237" w:rsidP="007648C5">
            <w:pPr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explain how the following can be used to </w:t>
            </w:r>
            <w:r w:rsidR="00354448" w:rsidRPr="00316378">
              <w:rPr>
                <w:rFonts w:ascii="Arial" w:hAnsi="Arial" w:cs="Arial"/>
                <w:sz w:val="20"/>
                <w:szCs w:val="20"/>
              </w:rPr>
              <w:t xml:space="preserve">provide data to </w:t>
            </w:r>
            <w:r w:rsidRPr="00316378">
              <w:rPr>
                <w:rFonts w:ascii="Arial" w:hAnsi="Arial" w:cs="Arial"/>
                <w:sz w:val="20"/>
                <w:szCs w:val="20"/>
              </w:rPr>
              <w:t>determine the age of the Earth</w:t>
            </w:r>
            <w:r w:rsidR="00354448" w:rsidRPr="003163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47237" w:rsidRPr="00316378" w:rsidRDefault="00847237" w:rsidP="00CF790D">
            <w:pPr>
              <w:pStyle w:val="ListBullet2"/>
            </w:pPr>
            <w:r w:rsidRPr="00316378">
              <w:t>zircon crystals</w:t>
            </w:r>
          </w:p>
          <w:p w:rsidR="00847237" w:rsidRPr="00316378" w:rsidRDefault="00847237" w:rsidP="00CF790D">
            <w:pPr>
              <w:pStyle w:val="ListBullet2"/>
            </w:pPr>
            <w:r w:rsidRPr="00316378">
              <w:t>radiometric techniques</w:t>
            </w:r>
          </w:p>
          <w:p w:rsidR="00847237" w:rsidRPr="00316378" w:rsidRDefault="00847237" w:rsidP="00CF790D">
            <w:pPr>
              <w:pStyle w:val="ListBullet2"/>
            </w:pPr>
            <w:r w:rsidRPr="00316378">
              <w:t>meteorites</w:t>
            </w:r>
          </w:p>
        </w:tc>
        <w:tc>
          <w:tcPr>
            <w:tcW w:w="41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Pr="00316378" w:rsidRDefault="00FD5A29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Zircon crystals </w:t>
            </w:r>
            <w:hyperlink r:id="rId22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http://www.abc.net.au/science/audio/2014/02/26/3952105.htm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23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http://www.abc.net.au/science/audio/2014/02/26/3952105.htm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47237" w:rsidRPr="00316378" w:rsidRDefault="00847237">
      <w:pPr>
        <w:rPr>
          <w:rFonts w:ascii="Arial" w:hAnsi="Arial" w:cs="Arial"/>
          <w:sz w:val="20"/>
          <w:szCs w:val="20"/>
        </w:rPr>
      </w:pPr>
    </w:p>
    <w:p w:rsidR="00847237" w:rsidRPr="00316378" w:rsidRDefault="00847237">
      <w:pPr>
        <w:rPr>
          <w:rFonts w:ascii="Arial" w:hAnsi="Arial" w:cs="Arial"/>
          <w:sz w:val="20"/>
          <w:szCs w:val="20"/>
        </w:rPr>
      </w:pP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7155"/>
        <w:gridCol w:w="4041"/>
      </w:tblGrid>
      <w:tr w:rsidR="0037444F" w:rsidRPr="00316378" w:rsidTr="009809D3">
        <w:trPr>
          <w:tblHeader/>
        </w:trPr>
        <w:tc>
          <w:tcPr>
            <w:tcW w:w="153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44F" w:rsidRPr="00316378" w:rsidRDefault="0037444F" w:rsidP="004D27C8">
            <w:pPr>
              <w:pStyle w:val="Heading4"/>
              <w:spacing w:before="0" w:after="0"/>
              <w:contextualSpacing w:val="0"/>
              <w:rPr>
                <w:sz w:val="20"/>
                <w:szCs w:val="20"/>
              </w:rPr>
            </w:pPr>
            <w:r w:rsidRPr="00316378">
              <w:rPr>
                <w:sz w:val="20"/>
                <w:szCs w:val="20"/>
              </w:rPr>
              <w:t>Topic:</w:t>
            </w:r>
            <w:r w:rsidRPr="00316378">
              <w:rPr>
                <w:sz w:val="20"/>
                <w:szCs w:val="20"/>
                <w:highlight w:val="white"/>
              </w:rPr>
              <w:t xml:space="preserve"> </w:t>
            </w:r>
            <w:r w:rsidR="00AE480E" w:rsidRPr="00316378">
              <w:rPr>
                <w:sz w:val="20"/>
                <w:szCs w:val="20"/>
              </w:rPr>
              <w:t>Rocks, Minerals and the Rock Cycle</w:t>
            </w:r>
          </w:p>
        </w:tc>
      </w:tr>
      <w:tr w:rsidR="0037444F" w:rsidRPr="00316378" w:rsidTr="009809D3">
        <w:trPr>
          <w:tblHeader/>
        </w:trPr>
        <w:tc>
          <w:tcPr>
            <w:tcW w:w="153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44F" w:rsidRPr="00316378" w:rsidRDefault="0037444F" w:rsidP="004D2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Inquiry question:</w:t>
            </w:r>
            <w:r w:rsidRPr="00D35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80E" w:rsidRPr="00D35429">
              <w:rPr>
                <w:rFonts w:ascii="Arial" w:hAnsi="Arial" w:cs="Arial"/>
                <w:sz w:val="20"/>
                <w:szCs w:val="20"/>
              </w:rPr>
              <w:t>What are the components of rocks and soils?</w:t>
            </w:r>
          </w:p>
        </w:tc>
      </w:tr>
      <w:tr w:rsidR="0037444F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44F" w:rsidRPr="00316378" w:rsidRDefault="0037444F" w:rsidP="004D27C8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44F" w:rsidRPr="00316378" w:rsidRDefault="0037444F" w:rsidP="004D27C8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Teaching, learning and assessment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44F" w:rsidRPr="00316378" w:rsidRDefault="00CF790D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E8271E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71E" w:rsidRPr="00D35429" w:rsidRDefault="00E8271E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E8271E" w:rsidRPr="00316378" w:rsidRDefault="00E8271E" w:rsidP="00013ADB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investigate methods of classifying rocks and minerals used by Aboriginal and Torres Strait Islander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16378">
              <w:rPr>
                <w:rFonts w:ascii="Arial" w:hAnsi="Arial" w:cs="Arial"/>
                <w:sz w:val="20"/>
                <w:szCs w:val="20"/>
              </w:rPr>
              <w:t>eoples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71E" w:rsidRPr="00316378" w:rsidRDefault="00E8271E" w:rsidP="00FF4D6D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esearch how ochre has been classified by </w:t>
            </w:r>
            <w:r>
              <w:rPr>
                <w:rFonts w:ascii="Arial" w:hAnsi="Arial" w:cs="Arial"/>
                <w:sz w:val="20"/>
                <w:szCs w:val="20"/>
              </w:rPr>
              <w:t>Aboriginal miners</w:t>
            </w:r>
          </w:p>
          <w:p w:rsidR="00AA5BF1" w:rsidRDefault="00E8271E" w:rsidP="00FF4D6D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esearch the different stones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used as tools by Aboriginal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A5BF1">
              <w:rPr>
                <w:rFonts w:ascii="Arial" w:hAnsi="Arial" w:cs="Arial"/>
                <w:sz w:val="20"/>
                <w:szCs w:val="20"/>
              </w:rPr>
              <w:t>eoples</w:t>
            </w:r>
          </w:p>
          <w:p w:rsidR="00E8271E" w:rsidRPr="00316378" w:rsidRDefault="00AA5BF1" w:rsidP="00AA5BF1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8271E" w:rsidRPr="00316378">
              <w:rPr>
                <w:rFonts w:ascii="Arial" w:hAnsi="Arial" w:cs="Arial"/>
                <w:sz w:val="20"/>
                <w:szCs w:val="20"/>
              </w:rPr>
              <w:t>methods use</w:t>
            </w:r>
            <w:r>
              <w:rPr>
                <w:rFonts w:ascii="Arial" w:hAnsi="Arial" w:cs="Arial"/>
                <w:sz w:val="20"/>
                <w:szCs w:val="20"/>
              </w:rPr>
              <w:t>d by Aboriginal Peoples</w:t>
            </w:r>
            <w:r w:rsidR="00E8271E" w:rsidRPr="00316378">
              <w:rPr>
                <w:rFonts w:ascii="Arial" w:hAnsi="Arial" w:cs="Arial"/>
                <w:sz w:val="20"/>
                <w:szCs w:val="20"/>
              </w:rPr>
              <w:t xml:space="preserve"> to determine whether a rock </w:t>
            </w:r>
            <w:r w:rsidR="00E8271E">
              <w:rPr>
                <w:rFonts w:ascii="Arial" w:hAnsi="Arial" w:cs="Arial"/>
                <w:sz w:val="20"/>
                <w:szCs w:val="20"/>
              </w:rPr>
              <w:t>is</w:t>
            </w:r>
            <w:r w:rsidR="00E8271E" w:rsidRPr="00316378">
              <w:rPr>
                <w:rFonts w:ascii="Arial" w:hAnsi="Arial" w:cs="Arial"/>
                <w:sz w:val="20"/>
                <w:szCs w:val="20"/>
              </w:rPr>
              <w:t xml:space="preserve"> suitable to be made into a tool or implement?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71E" w:rsidRDefault="00E8271E" w:rsidP="00FF4D6D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E8271E" w:rsidRDefault="00E8271E" w:rsidP="00FF4D6D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Ochre</w:t>
            </w:r>
          </w:p>
          <w:p w:rsidR="00E8271E" w:rsidRDefault="001A4253" w:rsidP="00FF4D6D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4" w:history="1">
              <w:r w:rsidR="00E8271E" w:rsidRPr="00D96780">
                <w:rPr>
                  <w:rStyle w:val="Hyperlink"/>
                  <w:rFonts w:ascii="Helv" w:hAnsi="Helv" w:cs="Helv"/>
                  <w:sz w:val="20"/>
                  <w:szCs w:val="20"/>
                </w:rPr>
                <w:t>http://koorihistory.com/earth-pigments-ochre/</w:t>
              </w:r>
            </w:hyperlink>
          </w:p>
          <w:p w:rsidR="00E8271E" w:rsidRDefault="00E8271E" w:rsidP="00FF4D6D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E8271E" w:rsidRDefault="00E8271E" w:rsidP="00FF4D6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rocks </w:t>
            </w:r>
            <w:hyperlink r:id="rId25" w:history="1">
              <w:r w:rsidRPr="009E08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https://museumvictoria.com.au/melbournemuseum/discoverycentre/dynamic-earth/videos/aboriginal-use-of-rocks-and-minerals/</w:t>
              </w:r>
            </w:hyperlink>
          </w:p>
          <w:p w:rsidR="00E8271E" w:rsidRDefault="001A4253" w:rsidP="00FF4D6D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6" w:history="1">
              <w:r w:rsidR="00E8271E" w:rsidRPr="00D96780">
                <w:rPr>
                  <w:rStyle w:val="Hyperlink"/>
                  <w:rFonts w:ascii="Helv" w:hAnsi="Helv" w:cs="Helv"/>
                  <w:sz w:val="20"/>
                  <w:szCs w:val="20"/>
                </w:rPr>
                <w:t>http://www.oldcourthousemuseum.com/Stone%20tools_web.pdf</w:t>
              </w:r>
            </w:hyperlink>
          </w:p>
          <w:p w:rsidR="00E8271E" w:rsidRPr="00FF4D6D" w:rsidRDefault="00E8271E" w:rsidP="00FF4D6D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2B7DC1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AE480E" w:rsidRPr="00316378" w:rsidRDefault="00AE480E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investigate the chemical composition of a variety of minerals and explain their formation, including:</w:t>
            </w:r>
          </w:p>
          <w:p w:rsidR="00AE480E" w:rsidRPr="00316378" w:rsidRDefault="00AE480E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felsic minerals</w:t>
            </w:r>
          </w:p>
          <w:p w:rsidR="002B7DC1" w:rsidRPr="00316378" w:rsidRDefault="00AE480E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mafic minerals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923" w:rsidRPr="00316378" w:rsidRDefault="00787923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research the relative abundance of elements in the crust as opposed to the entire Earth</w:t>
            </w:r>
          </w:p>
          <w:p w:rsidR="00787923" w:rsidRPr="00316378" w:rsidRDefault="0078792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construct bar charts to show the relative abundance of elements </w:t>
            </w:r>
            <w:r w:rsidR="00C75326" w:rsidRPr="00316378">
              <w:rPr>
                <w:rFonts w:ascii="Arial" w:hAnsi="Arial" w:cs="Arial"/>
                <w:sz w:val="20"/>
                <w:szCs w:val="20"/>
              </w:rPr>
              <w:t xml:space="preserve">in these areas </w:t>
            </w:r>
            <w:r w:rsidRPr="00316378">
              <w:rPr>
                <w:rFonts w:ascii="Arial" w:hAnsi="Arial" w:cs="Arial"/>
                <w:sz w:val="20"/>
                <w:szCs w:val="20"/>
              </w:rPr>
              <w:t>and account for any observed discrepancies</w:t>
            </w:r>
          </w:p>
          <w:p w:rsidR="00787923" w:rsidRPr="00316378" w:rsidRDefault="0078792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observe a range of igneous rocks (basalt, gabbro, diorite, andesite, rhyolite, granite) and group them in different ways</w:t>
            </w:r>
          </w:p>
          <w:p w:rsidR="00787923" w:rsidRPr="00316378" w:rsidRDefault="00C75326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identify and </w:t>
            </w:r>
            <w:r w:rsidR="00787923" w:rsidRPr="00316378">
              <w:rPr>
                <w:rFonts w:ascii="Arial" w:hAnsi="Arial" w:cs="Arial"/>
                <w:sz w:val="20"/>
                <w:szCs w:val="20"/>
              </w:rPr>
              <w:t>summarise the characteristic</w:t>
            </w:r>
            <w:r w:rsidRPr="00316378">
              <w:rPr>
                <w:rFonts w:ascii="Arial" w:hAnsi="Arial" w:cs="Arial"/>
                <w:sz w:val="20"/>
                <w:szCs w:val="20"/>
              </w:rPr>
              <w:t>s of rocks formed by:</w:t>
            </w:r>
          </w:p>
          <w:p w:rsidR="00C75326" w:rsidRPr="00316378" w:rsidRDefault="00C75326" w:rsidP="009E6C59">
            <w:pPr>
              <w:pStyle w:val="ListBullet2"/>
              <w:ind w:left="508" w:firstLine="83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felsic minerals</w:t>
            </w:r>
          </w:p>
          <w:p w:rsidR="002B7DC1" w:rsidRPr="00316378" w:rsidRDefault="00C75326" w:rsidP="009E6C59">
            <w:pPr>
              <w:pStyle w:val="ListBullet2"/>
              <w:ind w:left="508" w:firstLine="83"/>
              <w:rPr>
                <w:rFonts w:cs="Arial"/>
                <w:color w:val="000000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</w:rPr>
              <w:t>mafic minerals</w:t>
            </w:r>
          </w:p>
          <w:p w:rsidR="009D68D4" w:rsidRPr="00316378" w:rsidRDefault="009E6C59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378">
              <w:rPr>
                <w:rFonts w:ascii="Arial" w:hAnsi="Arial" w:cs="Arial"/>
                <w:sz w:val="20"/>
                <w:szCs w:val="20"/>
              </w:rPr>
              <w:t>investigate</w:t>
            </w:r>
            <w:proofErr w:type="gramEnd"/>
            <w:r w:rsidRPr="00316378">
              <w:rPr>
                <w:rFonts w:ascii="Arial" w:hAnsi="Arial" w:cs="Arial"/>
                <w:sz w:val="20"/>
                <w:szCs w:val="20"/>
              </w:rPr>
              <w:t xml:space="preserve"> the characteristics of mafic minerals (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biotite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>, hornblende, olivine) in relation to chemical composition, colour and hardness. Research the chemical composition of each sample.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Default="00CF790D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Samples of igneous rocks</w:t>
            </w:r>
          </w:p>
          <w:p w:rsidR="00CF790D" w:rsidRPr="00316378" w:rsidRDefault="00CF790D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Samples of minerals</w:t>
            </w:r>
          </w:p>
        </w:tc>
      </w:tr>
      <w:tr w:rsidR="002B7DC1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B7DC1" w:rsidRPr="00316378" w:rsidRDefault="00AE480E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investigate the physical properties of minerals that are used to assist in classification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8D4" w:rsidRPr="00316378" w:rsidRDefault="009D68D4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identify a range of minerals using a key and the minerals’ characteristics: </w:t>
            </w:r>
          </w:p>
          <w:p w:rsidR="009D68D4" w:rsidRPr="00316378" w:rsidRDefault="009D68D4" w:rsidP="009E6C59">
            <w:pPr>
              <w:pStyle w:val="ListBullet2"/>
              <w:ind w:left="508" w:firstLine="83"/>
              <w:rPr>
                <w:rFonts w:eastAsia="Arial" w:cs="Arial"/>
                <w:szCs w:val="20"/>
              </w:rPr>
            </w:pPr>
            <w:r w:rsidRPr="00316378">
              <w:rPr>
                <w:rFonts w:eastAsia="Arial" w:cs="Arial"/>
                <w:szCs w:val="20"/>
              </w:rPr>
              <w:t>hardness</w:t>
            </w:r>
          </w:p>
          <w:p w:rsidR="009D68D4" w:rsidRPr="00316378" w:rsidRDefault="009D68D4" w:rsidP="009E6C59">
            <w:pPr>
              <w:pStyle w:val="ListBullet2"/>
              <w:ind w:left="508" w:firstLine="83"/>
              <w:rPr>
                <w:rFonts w:eastAsia="Arial" w:cs="Arial"/>
                <w:szCs w:val="20"/>
              </w:rPr>
            </w:pPr>
            <w:r w:rsidRPr="00316378">
              <w:rPr>
                <w:rFonts w:eastAsia="Arial" w:cs="Arial"/>
                <w:szCs w:val="20"/>
              </w:rPr>
              <w:t>streak</w:t>
            </w:r>
          </w:p>
          <w:p w:rsidR="009D68D4" w:rsidRPr="00316378" w:rsidRDefault="009D68D4" w:rsidP="009E6C59">
            <w:pPr>
              <w:pStyle w:val="ListBullet2"/>
              <w:ind w:left="508" w:firstLine="83"/>
              <w:rPr>
                <w:rFonts w:eastAsia="Arial" w:cs="Arial"/>
                <w:szCs w:val="20"/>
              </w:rPr>
            </w:pPr>
            <w:r w:rsidRPr="00316378">
              <w:rPr>
                <w:rFonts w:eastAsia="Arial" w:cs="Arial"/>
                <w:szCs w:val="20"/>
              </w:rPr>
              <w:t>lustre</w:t>
            </w:r>
          </w:p>
          <w:p w:rsidR="009D68D4" w:rsidRPr="00316378" w:rsidRDefault="009D68D4" w:rsidP="009E6C59">
            <w:pPr>
              <w:pStyle w:val="ListBullet2"/>
              <w:ind w:left="508" w:firstLine="83"/>
              <w:rPr>
                <w:rFonts w:eastAsia="Arial" w:cs="Arial"/>
                <w:szCs w:val="20"/>
              </w:rPr>
            </w:pPr>
            <w:r w:rsidRPr="00316378">
              <w:rPr>
                <w:rFonts w:eastAsia="Arial" w:cs="Arial"/>
                <w:szCs w:val="20"/>
              </w:rPr>
              <w:t>cleavage</w:t>
            </w:r>
          </w:p>
          <w:p w:rsidR="009D68D4" w:rsidRPr="00316378" w:rsidRDefault="009D68D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use this information to complete a table titled </w:t>
            </w:r>
            <w:r w:rsidR="00CF790D">
              <w:rPr>
                <w:rFonts w:ascii="Arial" w:hAnsi="Arial" w:cs="Arial"/>
                <w:sz w:val="20"/>
                <w:szCs w:val="20"/>
              </w:rPr>
              <w:t>‘</w:t>
            </w:r>
            <w:r w:rsidRPr="00316378">
              <w:rPr>
                <w:rFonts w:ascii="Arial" w:hAnsi="Arial" w:cs="Arial"/>
                <w:sz w:val="20"/>
                <w:szCs w:val="20"/>
              </w:rPr>
              <w:t>Properties of some minerals</w:t>
            </w:r>
            <w:r w:rsidR="00CF790D"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C75326" w:rsidRPr="00316378" w:rsidRDefault="00C75326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investigate the relationship between rate of cooling on crystal size using, eg saturated potassium nitrate solution</w:t>
            </w:r>
          </w:p>
          <w:p w:rsidR="009E6C59" w:rsidRPr="00316378" w:rsidRDefault="009E6C59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378">
              <w:rPr>
                <w:rFonts w:ascii="Arial" w:hAnsi="Arial" w:cs="Arial"/>
                <w:sz w:val="20"/>
                <w:szCs w:val="20"/>
              </w:rPr>
              <w:t>construct</w:t>
            </w:r>
            <w:proofErr w:type="gramEnd"/>
            <w:r w:rsidRPr="00316378">
              <w:rPr>
                <w:rFonts w:ascii="Arial" w:hAnsi="Arial" w:cs="Arial"/>
                <w:sz w:val="20"/>
                <w:szCs w:val="20"/>
              </w:rPr>
              <w:t xml:space="preserve"> a 3D model of the silica tetrahedron. SiO</w:t>
            </w:r>
            <w:r w:rsidRPr="00CF790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:rsidR="009E6C59" w:rsidRPr="00316378" w:rsidRDefault="009E6C59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378">
              <w:rPr>
                <w:rFonts w:ascii="Arial" w:hAnsi="Arial" w:cs="Arial"/>
                <w:sz w:val="20"/>
                <w:szCs w:val="20"/>
              </w:rPr>
              <w:t>give</w:t>
            </w:r>
            <w:proofErr w:type="gramEnd"/>
            <w:r w:rsidRPr="00316378">
              <w:rPr>
                <w:rFonts w:ascii="Arial" w:hAnsi="Arial" w:cs="Arial"/>
                <w:sz w:val="20"/>
                <w:szCs w:val="20"/>
              </w:rPr>
              <w:t xml:space="preserve"> the chemical formulae for the following mafic minerals: quartz and feldspar.</w:t>
            </w:r>
          </w:p>
          <w:p w:rsidR="009D68D4" w:rsidRPr="00316378" w:rsidRDefault="009E6C59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explain the abundance of silicate minerals in the Earth’s crust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Default="00CF790D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Samples of minerals</w:t>
            </w:r>
          </w:p>
          <w:p w:rsidR="00CF790D" w:rsidRDefault="00CF790D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Saturated solution of potassium nitrate (KNO</w:t>
            </w:r>
            <w:r w:rsidRPr="00CF790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790D" w:rsidRDefault="00CF790D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Molecular model of silica (SiO</w:t>
            </w:r>
            <w:r w:rsidRPr="00CF790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5970" w:rsidRPr="00316378" w:rsidRDefault="00B95970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Mineral identification </w:t>
            </w:r>
            <w:hyperlink r:id="rId27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https://www.thoughtco.com/how-to-identify-minerals-1440936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7DC1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B7DC1" w:rsidRPr="00316378" w:rsidRDefault="00AE480E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examine a range of rocks and minerals and classify samples using dichotomous keys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8D4" w:rsidRPr="00316378" w:rsidRDefault="009D68D4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examine a wide range of rocks and using the data obtained previously, classify the rocks using a dichotomous key</w:t>
            </w:r>
          </w:p>
          <w:p w:rsidR="002B7DC1" w:rsidRPr="00316378" w:rsidRDefault="009A63EC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</w:t>
            </w:r>
            <w:r w:rsidR="009D68D4" w:rsidRPr="00316378">
              <w:rPr>
                <w:rFonts w:ascii="Arial" w:hAnsi="Arial" w:cs="Arial"/>
                <w:sz w:val="20"/>
                <w:szCs w:val="20"/>
              </w:rPr>
              <w:t>xamine a range of rocks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8D4" w:rsidRPr="00316378">
              <w:rPr>
                <w:rFonts w:ascii="Arial" w:hAnsi="Arial" w:cs="Arial"/>
                <w:sz w:val="20"/>
                <w:szCs w:val="20"/>
              </w:rPr>
              <w:t>marb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le, chalk, 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chert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>, pumice, slate</w:t>
            </w:r>
            <w:r w:rsidR="009D68D4" w:rsidRPr="00316378">
              <w:rPr>
                <w:rFonts w:ascii="Arial" w:hAnsi="Arial" w:cs="Arial"/>
                <w:sz w:val="20"/>
                <w:szCs w:val="20"/>
              </w:rPr>
              <w:t xml:space="preserve"> and match them to a use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68D4" w:rsidRPr="00316378">
              <w:rPr>
                <w:rFonts w:ascii="Arial" w:hAnsi="Arial" w:cs="Arial"/>
                <w:sz w:val="20"/>
                <w:szCs w:val="20"/>
              </w:rPr>
              <w:t>benchtops</w:t>
            </w:r>
            <w:proofErr w:type="spellEnd"/>
            <w:r w:rsidR="009D68D4" w:rsidRPr="00316378">
              <w:rPr>
                <w:rFonts w:ascii="Arial" w:hAnsi="Arial" w:cs="Arial"/>
                <w:sz w:val="20"/>
                <w:szCs w:val="20"/>
              </w:rPr>
              <w:t>, tiles, spearheads, removing calloused skin, preventing slipping</w:t>
            </w:r>
          </w:p>
          <w:p w:rsidR="009A63EC" w:rsidRPr="00316378" w:rsidRDefault="009A63EC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construct a key using the physical properties of the rocks to justify their function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Pr="00316378" w:rsidRDefault="00CF790D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rock samples</w:t>
            </w:r>
          </w:p>
        </w:tc>
      </w:tr>
      <w:tr w:rsidR="002B7DC1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B7DC1" w:rsidRPr="00316378" w:rsidRDefault="00AE480E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explain the formation of rocks as characteristic assemblages of mineral crystals or grains that are formed through igneous, sedimentary and metamorphic processes, as part of the Rock Cycle (ACSES019)</w:t>
            </w:r>
            <w:r w:rsidR="00B7682B"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9399CBB" wp14:editId="223E8662">
                  <wp:extent cx="121920" cy="103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4F3" w:rsidRPr="00316378" w:rsidRDefault="003954F3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review the processes involved in the Rock Cycle</w:t>
            </w:r>
            <w:r w:rsidR="009E6C59" w:rsidRPr="00316378">
              <w:rPr>
                <w:rFonts w:ascii="Arial" w:hAnsi="Arial" w:cs="Arial"/>
                <w:sz w:val="20"/>
                <w:szCs w:val="20"/>
              </w:rPr>
              <w:t xml:space="preserve"> by engaging with digital animations</w:t>
            </w:r>
          </w:p>
          <w:p w:rsidR="003954F3" w:rsidRPr="00316378" w:rsidRDefault="003954F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examine a range of parent rocks and their metamorphic equivalents to identify and describe similarities and differences</w:t>
            </w:r>
          </w:p>
          <w:p w:rsidR="002B7DC1" w:rsidRPr="00316378" w:rsidRDefault="007A5CB5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infographic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 xml:space="preserve"> or flowchart to </w:t>
            </w:r>
            <w:r w:rsidR="003954F3" w:rsidRPr="00316378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954F3" w:rsidRPr="00316378">
              <w:rPr>
                <w:rFonts w:ascii="Arial" w:hAnsi="Arial" w:cs="Arial"/>
                <w:sz w:val="20"/>
                <w:szCs w:val="20"/>
              </w:rPr>
              <w:t>processes that form/change rocks through the rock cycle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23BE" w:rsidRDefault="003423BE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‘Rock Recipes’ YouTube video </w:t>
            </w:r>
            <w:hyperlink r:id="rId28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https://www.youtube.com/watch?v=MZn0I3J2RTg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7DC1" w:rsidRPr="00316378" w:rsidRDefault="00BA265A" w:rsidP="004D2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 cycle: </w:t>
            </w:r>
            <w:hyperlink r:id="rId29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https://www.learner.org/interactives/rockcycle/rockdiagram/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682B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B7682B" w:rsidRPr="00316378" w:rsidRDefault="00B7682B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explain the formation of soil in terms of the interaction of atmospheric, geologic, hydrologic and biotic processes (ACSES020)</w:t>
            </w:r>
            <w:r w:rsidR="007A5CB5"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4C02331" wp14:editId="6A12E38B">
                  <wp:extent cx="121920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6F07" w:rsidRPr="00316378" w:rsidRDefault="00E86F07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investigate a range of computer 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interactives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 xml:space="preserve"> that demonstrate the formation of soil, eg Smithsonian Environmental Research Centre</w:t>
            </w:r>
            <w:r w:rsidR="003F5253" w:rsidRPr="00316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CB5" w:rsidRPr="00316378" w:rsidRDefault="009D70F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</w:t>
            </w:r>
            <w:r w:rsidR="007A5CB5" w:rsidRPr="00316378">
              <w:rPr>
                <w:rFonts w:ascii="Arial" w:hAnsi="Arial" w:cs="Arial"/>
                <w:sz w:val="20"/>
                <w:szCs w:val="20"/>
              </w:rPr>
              <w:t xml:space="preserve">escribe the </w:t>
            </w:r>
            <w:r w:rsidRPr="00316378">
              <w:rPr>
                <w:rFonts w:ascii="Arial" w:hAnsi="Arial" w:cs="Arial"/>
                <w:sz w:val="20"/>
                <w:szCs w:val="20"/>
              </w:rPr>
              <w:t>interactions</w:t>
            </w:r>
            <w:r w:rsidR="007A5CB5" w:rsidRPr="00316378">
              <w:rPr>
                <w:rFonts w:ascii="Arial" w:hAnsi="Arial" w:cs="Arial"/>
                <w:sz w:val="20"/>
                <w:szCs w:val="20"/>
              </w:rPr>
              <w:t xml:space="preserve"> resulting in the formation of soils:</w:t>
            </w:r>
          </w:p>
          <w:p w:rsidR="009D70F3" w:rsidRPr="00316378" w:rsidRDefault="009D70F3" w:rsidP="00F448B7">
            <w:pPr>
              <w:pStyle w:val="ListBullet2"/>
              <w:ind w:left="792"/>
              <w:rPr>
                <w:rFonts w:eastAsiaTheme="minorHAnsi" w:cs="Arial"/>
                <w:szCs w:val="20"/>
              </w:rPr>
            </w:pPr>
            <w:r w:rsidRPr="00316378">
              <w:rPr>
                <w:rFonts w:eastAsiaTheme="minorHAnsi" w:cs="Arial"/>
                <w:szCs w:val="20"/>
              </w:rPr>
              <w:t>atmospheric</w:t>
            </w:r>
          </w:p>
          <w:p w:rsidR="009D70F3" w:rsidRPr="00316378" w:rsidRDefault="009D70F3" w:rsidP="00F448B7">
            <w:pPr>
              <w:pStyle w:val="ListBullet2"/>
              <w:ind w:left="792"/>
              <w:rPr>
                <w:rFonts w:eastAsiaTheme="minorHAnsi" w:cs="Arial"/>
                <w:szCs w:val="20"/>
              </w:rPr>
            </w:pPr>
            <w:r w:rsidRPr="00316378">
              <w:rPr>
                <w:rFonts w:eastAsiaTheme="minorHAnsi" w:cs="Arial"/>
                <w:szCs w:val="20"/>
              </w:rPr>
              <w:t>geologic</w:t>
            </w:r>
          </w:p>
          <w:p w:rsidR="009D70F3" w:rsidRPr="00316378" w:rsidRDefault="009D70F3" w:rsidP="00F448B7">
            <w:pPr>
              <w:pStyle w:val="ListBullet2"/>
              <w:ind w:left="792"/>
              <w:rPr>
                <w:rFonts w:eastAsiaTheme="minorHAnsi" w:cs="Arial"/>
                <w:szCs w:val="20"/>
              </w:rPr>
            </w:pPr>
            <w:r w:rsidRPr="00316378">
              <w:rPr>
                <w:rFonts w:eastAsiaTheme="minorHAnsi" w:cs="Arial"/>
                <w:szCs w:val="20"/>
              </w:rPr>
              <w:t>hydrologic</w:t>
            </w:r>
          </w:p>
          <w:p w:rsidR="009D70F3" w:rsidRPr="00316378" w:rsidRDefault="009D70F3" w:rsidP="00F448B7">
            <w:pPr>
              <w:pStyle w:val="ListBullet2"/>
              <w:ind w:left="792"/>
              <w:rPr>
                <w:rFonts w:eastAsiaTheme="minorHAnsi" w:cs="Arial"/>
                <w:szCs w:val="20"/>
              </w:rPr>
            </w:pPr>
            <w:r w:rsidRPr="00316378">
              <w:rPr>
                <w:rFonts w:eastAsiaTheme="minorHAnsi" w:cs="Arial"/>
                <w:szCs w:val="20"/>
              </w:rPr>
              <w:t>biotic</w:t>
            </w:r>
          </w:p>
          <w:p w:rsidR="002346D4" w:rsidRPr="00316378" w:rsidRDefault="009D70F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proofErr w:type="spellStart"/>
            <w:r w:rsidRPr="00316378">
              <w:rPr>
                <w:rFonts w:ascii="Arial" w:hAnsi="Arial" w:cs="Arial"/>
                <w:sz w:val="20"/>
                <w:szCs w:val="20"/>
              </w:rPr>
              <w:t>infographic</w:t>
            </w:r>
            <w:proofErr w:type="spellEnd"/>
            <w:r w:rsidRPr="00316378">
              <w:rPr>
                <w:rFonts w:ascii="Arial" w:hAnsi="Arial" w:cs="Arial"/>
                <w:sz w:val="20"/>
                <w:szCs w:val="20"/>
              </w:rPr>
              <w:t xml:space="preserve"> or flowchart to</w:t>
            </w:r>
            <w:r w:rsidR="007A5CB5" w:rsidRPr="00316378">
              <w:rPr>
                <w:rFonts w:ascii="Arial" w:hAnsi="Arial" w:cs="Arial"/>
                <w:sz w:val="20"/>
                <w:szCs w:val="20"/>
              </w:rPr>
              <w:t xml:space="preserve"> summarise 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the factors affecting </w:t>
            </w:r>
            <w:r w:rsidR="007A5CB5" w:rsidRPr="00316378">
              <w:rPr>
                <w:rFonts w:ascii="Arial" w:hAnsi="Arial" w:cs="Arial"/>
                <w:sz w:val="20"/>
                <w:szCs w:val="20"/>
              </w:rPr>
              <w:t>soil formation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82B" w:rsidRPr="00316378" w:rsidRDefault="00CF790D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Smithsonian Institute Dig It </w:t>
            </w:r>
            <w:hyperlink r:id="rId30" w:history="1">
              <w:r w:rsidRPr="00CF790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http://forces.si.edu/soils/</w:t>
              </w:r>
            </w:hyperlink>
          </w:p>
          <w:p w:rsidR="00F448B7" w:rsidRPr="00316378" w:rsidRDefault="00F448B7" w:rsidP="004D2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C1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2B7DC1" w:rsidRPr="00316378" w:rsidRDefault="00AE480E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conduct a practical investigation to examine soil types and component materials (ACSES020)</w:t>
            </w:r>
            <w:r w:rsidR="009D70F3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9D70F3"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E90FE28" wp14:editId="3B730C63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0F3" w:rsidRPr="00316378" w:rsidRDefault="009D70F3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collect soil samples from an augured hole or trench</w:t>
            </w:r>
          </w:p>
          <w:p w:rsidR="009D70F3" w:rsidRPr="00316378" w:rsidRDefault="009D70F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construct</w:t>
            </w:r>
            <w:proofErr w:type="gramEnd"/>
            <w:r w:rsidRPr="00316378">
              <w:rPr>
                <w:rFonts w:ascii="Arial" w:hAnsi="Arial" w:cs="Arial"/>
                <w:sz w:val="20"/>
                <w:szCs w:val="20"/>
              </w:rPr>
              <w:t xml:space="preserve"> a soil </w:t>
            </w:r>
            <w:r w:rsidR="002346D4" w:rsidRPr="00316378">
              <w:rPr>
                <w:rFonts w:ascii="Arial" w:hAnsi="Arial" w:cs="Arial"/>
                <w:sz w:val="20"/>
                <w:szCs w:val="20"/>
              </w:rPr>
              <w:t>sedimentation column. Measure the proportions of:</w:t>
            </w:r>
          </w:p>
          <w:p w:rsidR="002346D4" w:rsidRPr="00316378" w:rsidRDefault="002346D4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organic material</w:t>
            </w:r>
          </w:p>
          <w:p w:rsidR="002346D4" w:rsidRPr="00316378" w:rsidRDefault="002346D4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sand</w:t>
            </w:r>
          </w:p>
          <w:p w:rsidR="002346D4" w:rsidRPr="00316378" w:rsidRDefault="002346D4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clay/silt</w:t>
            </w:r>
          </w:p>
          <w:p w:rsidR="009D70F3" w:rsidRPr="00316378" w:rsidRDefault="009D70F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compare a range of soil profiles to not</w:t>
            </w:r>
            <w:r w:rsidR="00E64362" w:rsidRPr="00316378">
              <w:rPr>
                <w:rFonts w:ascii="Arial" w:hAnsi="Arial" w:cs="Arial"/>
                <w:sz w:val="20"/>
                <w:szCs w:val="20"/>
                <w:lang w:eastAsia="en-AU"/>
              </w:rPr>
              <w:t>e similarities and differences</w:t>
            </w:r>
          </w:p>
          <w:p w:rsidR="009D70F3" w:rsidRPr="00316378" w:rsidRDefault="009D70F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relate the processes of soil formation </w:t>
            </w:r>
            <w:r w:rsidR="00E64362" w:rsidRPr="00316378">
              <w:rPr>
                <w:rFonts w:ascii="Arial" w:hAnsi="Arial" w:cs="Arial"/>
                <w:sz w:val="20"/>
                <w:szCs w:val="20"/>
                <w:lang w:eastAsia="en-AU"/>
              </w:rPr>
              <w:t>to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the differences in </w:t>
            </w:r>
            <w:r w:rsidR="00E64362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soil 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profiles</w:t>
            </w:r>
          </w:p>
          <w:p w:rsidR="009D70F3" w:rsidRPr="00316378" w:rsidRDefault="00E64362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gather evidence to show that soil is a mixture not just sediment grains</w:t>
            </w:r>
          </w:p>
          <w:p w:rsidR="00E64362" w:rsidRPr="00316378" w:rsidRDefault="009D70F3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classify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soils based on </w:t>
            </w:r>
            <w:r w:rsidR="00E64362" w:rsidRPr="00316378">
              <w:rPr>
                <w:rFonts w:ascii="Arial" w:hAnsi="Arial" w:cs="Arial"/>
                <w:sz w:val="20"/>
                <w:szCs w:val="20"/>
              </w:rPr>
              <w:t>their composition of:</w:t>
            </w:r>
          </w:p>
          <w:p w:rsidR="00E64362" w:rsidRPr="00316378" w:rsidRDefault="009D70F3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 xml:space="preserve">clay </w:t>
            </w:r>
          </w:p>
          <w:p w:rsidR="00E64362" w:rsidRPr="00316378" w:rsidRDefault="009D70F3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 xml:space="preserve">silt </w:t>
            </w:r>
          </w:p>
          <w:p w:rsidR="00E64362" w:rsidRPr="00316378" w:rsidRDefault="00E64362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sand</w:t>
            </w:r>
          </w:p>
          <w:p w:rsidR="00E64362" w:rsidRPr="00316378" w:rsidRDefault="00E64362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moisture content</w:t>
            </w:r>
          </w:p>
          <w:p w:rsidR="00E64362" w:rsidRPr="00316378" w:rsidRDefault="00E64362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organic content</w:t>
            </w:r>
          </w:p>
          <w:p w:rsidR="009D70F3" w:rsidRPr="00316378" w:rsidRDefault="00E64362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create a</w:t>
            </w:r>
            <w:r w:rsidR="009D70F3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diagram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describing these relationships</w:t>
            </w:r>
          </w:p>
          <w:p w:rsidR="00C07F03" w:rsidRPr="005C01F1" w:rsidRDefault="00C07F03" w:rsidP="00C07F03">
            <w:pPr>
              <w:spacing w:before="20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Depth Study for assessment</w:t>
            </w:r>
          </w:p>
          <w:p w:rsidR="00C07F03" w:rsidRPr="00316378" w:rsidRDefault="00C07F03" w:rsidP="00C07F03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Students c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hoose one area of soils from the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field study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 that interests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them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 and develop an inquiry question.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They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 must include a practical investigation and research in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thei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>r investigation.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Students r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eport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thei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 xml:space="preserve">r findings in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5 minute </w:t>
            </w:r>
            <w:r w:rsidRPr="00316378">
              <w:rPr>
                <w:rFonts w:ascii="Arial" w:eastAsiaTheme="minorHAnsi" w:hAnsi="Arial" w:cs="Arial"/>
                <w:sz w:val="20"/>
                <w:szCs w:val="20"/>
              </w:rPr>
              <w:t>oral presentation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7DC1" w:rsidRPr="00316378" w:rsidRDefault="00C30F16" w:rsidP="00D8650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Augur</w:t>
            </w:r>
            <w:r w:rsidR="00CF790D">
              <w:rPr>
                <w:rFonts w:ascii="Arial" w:hAnsi="Arial" w:cs="Arial"/>
                <w:sz w:val="20"/>
                <w:szCs w:val="20"/>
              </w:rPr>
              <w:t xml:space="preserve"> to collect soil samples</w:t>
            </w:r>
          </w:p>
        </w:tc>
      </w:tr>
    </w:tbl>
    <w:p w:rsidR="008F7575" w:rsidRPr="00316378" w:rsidRDefault="008F7575">
      <w:pPr>
        <w:rPr>
          <w:rFonts w:ascii="Arial" w:hAnsi="Arial" w:cs="Arial"/>
          <w:sz w:val="20"/>
          <w:szCs w:val="20"/>
        </w:rPr>
      </w:pPr>
    </w:p>
    <w:p w:rsidR="00E64362" w:rsidRPr="00316378" w:rsidRDefault="00E64362">
      <w:pPr>
        <w:rPr>
          <w:rFonts w:ascii="Arial" w:hAnsi="Arial" w:cs="Arial"/>
          <w:sz w:val="20"/>
          <w:szCs w:val="20"/>
        </w:rPr>
      </w:pP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7155"/>
        <w:gridCol w:w="4041"/>
      </w:tblGrid>
      <w:tr w:rsidR="00E64362" w:rsidRPr="00316378" w:rsidTr="009809D3">
        <w:trPr>
          <w:tblHeader/>
        </w:trPr>
        <w:tc>
          <w:tcPr>
            <w:tcW w:w="153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4362" w:rsidRPr="00316378" w:rsidRDefault="00E64362" w:rsidP="000A6289">
            <w:pPr>
              <w:pStyle w:val="Heading4"/>
              <w:spacing w:before="0" w:after="0"/>
              <w:contextualSpacing w:val="0"/>
              <w:rPr>
                <w:sz w:val="20"/>
                <w:szCs w:val="20"/>
              </w:rPr>
            </w:pPr>
            <w:r w:rsidRPr="00316378">
              <w:rPr>
                <w:sz w:val="20"/>
                <w:szCs w:val="20"/>
              </w:rPr>
              <w:t>Topic:</w:t>
            </w:r>
            <w:r w:rsidRPr="00316378">
              <w:rPr>
                <w:sz w:val="20"/>
                <w:szCs w:val="20"/>
                <w:highlight w:val="white"/>
              </w:rPr>
              <w:t xml:space="preserve"> </w:t>
            </w:r>
            <w:r w:rsidRPr="00316378">
              <w:rPr>
                <w:sz w:val="20"/>
                <w:szCs w:val="20"/>
              </w:rPr>
              <w:t>Geological Timescale</w:t>
            </w:r>
          </w:p>
        </w:tc>
      </w:tr>
      <w:tr w:rsidR="00E64362" w:rsidRPr="00316378" w:rsidTr="009809D3">
        <w:trPr>
          <w:tblHeader/>
        </w:trPr>
        <w:tc>
          <w:tcPr>
            <w:tcW w:w="153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4362" w:rsidRPr="00316378" w:rsidRDefault="00E64362" w:rsidP="000A6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Inquiry question:</w:t>
            </w:r>
            <w:r w:rsidRPr="00D35429">
              <w:rPr>
                <w:rFonts w:ascii="Arial" w:hAnsi="Arial" w:cs="Arial"/>
                <w:sz w:val="20"/>
                <w:szCs w:val="20"/>
              </w:rPr>
              <w:t xml:space="preserve"> How is the age of geological materials determined?</w:t>
            </w:r>
          </w:p>
        </w:tc>
      </w:tr>
      <w:tr w:rsidR="00E64362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4362" w:rsidRPr="00316378" w:rsidRDefault="00E64362" w:rsidP="000A6289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4362" w:rsidRPr="00316378" w:rsidRDefault="00E64362" w:rsidP="000A6289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Teaching, learning and assessment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4362" w:rsidRPr="00316378" w:rsidRDefault="00972645" w:rsidP="000A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E64362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00651F" w:rsidRPr="00316378" w:rsidRDefault="0000651F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describe relative and absolute dating of the geosphere (ACSES017)</w:t>
            </w:r>
          </w:p>
          <w:p w:rsidR="00E64362" w:rsidRPr="00316378" w:rsidRDefault="00E64362" w:rsidP="007648C5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A4" w:rsidRPr="00316378" w:rsidRDefault="008D00A4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define the terms relative and absolute dating</w:t>
            </w:r>
          </w:p>
          <w:p w:rsidR="008D00A4" w:rsidRPr="00316378" w:rsidRDefault="008D00A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investigate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different methods used to determine the age of the geosphere by:</w:t>
            </w:r>
          </w:p>
          <w:p w:rsidR="008D00A4" w:rsidRPr="00316378" w:rsidRDefault="008D00A4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relative dating</w:t>
            </w:r>
          </w:p>
          <w:p w:rsidR="00E64362" w:rsidRPr="00316378" w:rsidRDefault="008D00A4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absolute dating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4362" w:rsidRPr="00316378" w:rsidRDefault="00E64362" w:rsidP="000A6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362" w:rsidRPr="00316378" w:rsidTr="009809D3"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E64362" w:rsidRPr="00316378" w:rsidRDefault="0000651F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use data of both relative and absolute dating from secondary sources to determine the age of geological materials (ACSES013, ACSES015, ACSES016, ACSES017)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23E88C2A" wp14:editId="2B55F3E9">
                  <wp:extent cx="133350" cy="104775"/>
                  <wp:effectExtent l="0" t="0" r="0" b="0"/>
                  <wp:docPr id="167" name="image209.png" title=" 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.png" title=" Information and communication technology capability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B7B0485" wp14:editId="596911BF">
                  <wp:extent cx="79375" cy="1035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A4" w:rsidRPr="00316378" w:rsidRDefault="008D00A4" w:rsidP="00D86501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determine the relative ages of objects, such as fossils, by using simple geologic principles, eg:</w:t>
            </w:r>
          </w:p>
          <w:p w:rsidR="008D00A4" w:rsidRPr="00316378" w:rsidRDefault="008D00A4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the principle of superposition</w:t>
            </w:r>
          </w:p>
          <w:p w:rsidR="008D00A4" w:rsidRPr="00316378" w:rsidRDefault="008D00A4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cross cutting relationships</w:t>
            </w:r>
          </w:p>
          <w:p w:rsidR="008D00A4" w:rsidRPr="00316378" w:rsidRDefault="00634701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 xml:space="preserve">floral and </w:t>
            </w:r>
            <w:r w:rsidR="008D00A4" w:rsidRPr="00316378">
              <w:rPr>
                <w:rFonts w:cs="Arial"/>
                <w:szCs w:val="20"/>
              </w:rPr>
              <w:t>faunal succession</w:t>
            </w:r>
          </w:p>
          <w:p w:rsidR="008D00A4" w:rsidRPr="00316378" w:rsidRDefault="008D00A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describe and justify the processes that could be used to date a fossil found in the local area</w:t>
            </w:r>
          </w:p>
          <w:p w:rsidR="007C364D" w:rsidRPr="00316378" w:rsidRDefault="007C364D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using half-life data, </w:t>
            </w:r>
            <w:r w:rsidR="008D00A4" w:rsidRPr="00316378">
              <w:rPr>
                <w:rFonts w:ascii="Arial" w:hAnsi="Arial" w:cs="Arial"/>
                <w:sz w:val="20"/>
                <w:szCs w:val="20"/>
              </w:rPr>
              <w:t>calculate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the absolute the ages of rocks</w:t>
            </w:r>
          </w:p>
          <w:p w:rsidR="008D00A4" w:rsidRPr="00316378" w:rsidRDefault="007C364D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</w:t>
            </w:r>
            <w:r w:rsidR="008D00A4" w:rsidRPr="00316378">
              <w:rPr>
                <w:rFonts w:ascii="Arial" w:hAnsi="Arial" w:cs="Arial"/>
                <w:sz w:val="20"/>
                <w:szCs w:val="20"/>
              </w:rPr>
              <w:t>etermine the geologic history of an area using both relative and absolute principles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4362" w:rsidRPr="00316378" w:rsidRDefault="00E64362" w:rsidP="000A6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4D" w:rsidRPr="00316378" w:rsidTr="009809D3">
        <w:trPr>
          <w:tblHeader/>
        </w:trPr>
        <w:tc>
          <w:tcPr>
            <w:tcW w:w="153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64D" w:rsidRPr="00316378" w:rsidRDefault="003F5253" w:rsidP="000A6289">
            <w:pPr>
              <w:pStyle w:val="Heading4"/>
              <w:spacing w:before="0" w:after="0"/>
              <w:contextualSpacing w:val="0"/>
              <w:rPr>
                <w:sz w:val="20"/>
                <w:szCs w:val="20"/>
              </w:rPr>
            </w:pPr>
            <w:r w:rsidRPr="00316378">
              <w:rPr>
                <w:sz w:val="20"/>
                <w:szCs w:val="20"/>
              </w:rPr>
              <w:br w:type="page"/>
            </w:r>
            <w:r w:rsidR="007C364D" w:rsidRPr="00316378">
              <w:rPr>
                <w:sz w:val="20"/>
                <w:szCs w:val="20"/>
              </w:rPr>
              <w:t>Topic:</w:t>
            </w:r>
            <w:r w:rsidR="007C364D" w:rsidRPr="00316378">
              <w:rPr>
                <w:sz w:val="20"/>
                <w:szCs w:val="20"/>
                <w:highlight w:val="white"/>
              </w:rPr>
              <w:t xml:space="preserve"> </w:t>
            </w:r>
            <w:r w:rsidR="007C364D" w:rsidRPr="00316378">
              <w:rPr>
                <w:sz w:val="20"/>
                <w:szCs w:val="20"/>
              </w:rPr>
              <w:t>Geological Resources</w:t>
            </w:r>
          </w:p>
        </w:tc>
      </w:tr>
      <w:tr w:rsidR="007C364D" w:rsidRPr="00316378" w:rsidTr="009809D3">
        <w:trPr>
          <w:tblHeader/>
        </w:trPr>
        <w:tc>
          <w:tcPr>
            <w:tcW w:w="153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64D" w:rsidRPr="00316378" w:rsidRDefault="007C364D" w:rsidP="000A6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Inquiry question:</w:t>
            </w:r>
            <w:r w:rsidRPr="00D35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CD4" w:rsidRPr="00D35429">
              <w:rPr>
                <w:rFonts w:ascii="Arial" w:hAnsi="Arial" w:cs="Arial"/>
                <w:sz w:val="20"/>
                <w:szCs w:val="20"/>
              </w:rPr>
              <w:t>How are non-renewable geological resources discovered and extracted?</w:t>
            </w:r>
          </w:p>
        </w:tc>
      </w:tr>
      <w:tr w:rsidR="007C364D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64D" w:rsidRPr="00316378" w:rsidRDefault="007C364D" w:rsidP="000A6289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64D" w:rsidRPr="00316378" w:rsidRDefault="007C364D" w:rsidP="000A6289">
            <w:pPr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b/>
                <w:sz w:val="20"/>
                <w:szCs w:val="20"/>
              </w:rPr>
              <w:t>Teaching, learning and assessment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64D" w:rsidRPr="00316378" w:rsidRDefault="00972645" w:rsidP="000A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E8271E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71E" w:rsidRPr="00D35429" w:rsidRDefault="00E8271E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E8271E" w:rsidRPr="00316378" w:rsidRDefault="00E8271E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investigate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traditional Aboriginal quarrying and mining methods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04764F2C" wp14:editId="49C7EE46">
                  <wp:extent cx="114300" cy="104775"/>
                  <wp:effectExtent l="0" t="0" r="0" b="0"/>
                  <wp:docPr id="171" name="image213.png" title="Aboriginal and Torres Strait Islander histories and culture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3.png" title="Aboriginal and Torres Strait Islander histories and cultures icon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71E" w:rsidRDefault="00E8271E" w:rsidP="00074E2A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the types and locations of Aboriginal quarries and mines</w:t>
            </w:r>
          </w:p>
          <w:p w:rsidR="00E8271E" w:rsidRDefault="00E8271E" w:rsidP="00074E2A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geology of these areas</w:t>
            </w:r>
          </w:p>
          <w:p w:rsidR="00E8271E" w:rsidRPr="00316378" w:rsidRDefault="00E8271E" w:rsidP="00074E2A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uses and trade generated by these quarries and mines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EBE" w:rsidRDefault="00890EBE" w:rsidP="00FF4D6D"/>
          <w:p w:rsidR="00E8271E" w:rsidRDefault="001A4253" w:rsidP="00FF4D6D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3" w:history="1">
              <w:r w:rsidR="00E8271E" w:rsidRPr="00D96780">
                <w:rPr>
                  <w:rStyle w:val="Hyperlink"/>
                  <w:rFonts w:ascii="Helv" w:hAnsi="Helv" w:cs="Helv"/>
                  <w:sz w:val="20"/>
                  <w:szCs w:val="20"/>
                </w:rPr>
                <w:t>http://www.ancient-origins.net/ancient-places-australia-oceania/wilgie-mia-ancient-mine-where-ochre-runs-red-kangaroo-blood-001425?nopaging=1</w:t>
              </w:r>
            </w:hyperlink>
          </w:p>
          <w:p w:rsidR="00E8271E" w:rsidRDefault="00E8271E" w:rsidP="00FF4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1E" w:rsidRDefault="001A4253" w:rsidP="00FF4D6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4" w:history="1">
              <w:r w:rsidR="00E8271E" w:rsidRPr="009E08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https://www.communityheritage.net.au/mount-william-stone-hatchet-quarry</w:t>
              </w:r>
            </w:hyperlink>
            <w:r w:rsidR="00E8271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271E" w:rsidRDefault="00E8271E" w:rsidP="00FF4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271E" w:rsidRDefault="001A4253" w:rsidP="00FF4D6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5" w:history="1">
              <w:r w:rsidR="00E8271E" w:rsidRPr="006E792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http://www.vic.gov.au/system/user_files/Documents/av/Quarries.pdf</w:t>
              </w:r>
            </w:hyperlink>
          </w:p>
          <w:p w:rsidR="00E8271E" w:rsidRDefault="00E8271E" w:rsidP="00FF4D6D">
            <w:pPr>
              <w:rPr>
                <w:rStyle w:val="Hyperlink"/>
              </w:rPr>
            </w:pPr>
          </w:p>
          <w:p w:rsidR="00E8271E" w:rsidRPr="00074E2A" w:rsidRDefault="00E8271E" w:rsidP="00FF4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</w:rPr>
              <w:t>Consult with Local Aboriginal Land Councils</w:t>
            </w:r>
          </w:p>
        </w:tc>
      </w:tr>
      <w:tr w:rsidR="007C364D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345CD4" w:rsidRPr="00316378" w:rsidRDefault="00345CD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locate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relate a range of non-renewable resources to their location, for example: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5B35BF5" wp14:editId="7CDBC1A2">
                  <wp:extent cx="133985" cy="1035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5A06FBF" wp14:editId="46EBAAA8">
                  <wp:extent cx="103505" cy="10350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CD4" w:rsidRPr="00316378" w:rsidRDefault="00345CD4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minerals</w:t>
            </w:r>
          </w:p>
          <w:p w:rsidR="00345CD4" w:rsidRPr="00316378" w:rsidRDefault="00345CD4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fossil fuels (ACSES072)</w:t>
            </w:r>
          </w:p>
          <w:p w:rsidR="007C364D" w:rsidRPr="00316378" w:rsidRDefault="00345CD4" w:rsidP="007648C5">
            <w:pPr>
              <w:pStyle w:val="ListBullet2"/>
              <w:ind w:left="786"/>
              <w:rPr>
                <w:rFonts w:cs="Arial"/>
                <w:b/>
                <w:szCs w:val="20"/>
              </w:rPr>
            </w:pPr>
            <w:r w:rsidRPr="00316378">
              <w:rPr>
                <w:rFonts w:cs="Arial"/>
                <w:szCs w:val="20"/>
                <w:lang w:eastAsia="en-AU"/>
              </w:rPr>
              <w:t>ores of economic significance (ACSES071, ACSES072)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BDD" w:rsidRPr="00316378" w:rsidRDefault="00FF6BDD" w:rsidP="00074E2A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r</w:t>
            </w:r>
            <w:r w:rsidR="00BE0A24" w:rsidRPr="00316378">
              <w:rPr>
                <w:rFonts w:ascii="Arial" w:hAnsi="Arial" w:cs="Arial"/>
                <w:sz w:val="20"/>
                <w:szCs w:val="20"/>
              </w:rPr>
              <w:t xml:space="preserve">ecall </w:t>
            </w:r>
            <w:r w:rsidRPr="00316378">
              <w:rPr>
                <w:rFonts w:ascii="Arial" w:hAnsi="Arial" w:cs="Arial"/>
                <w:sz w:val="20"/>
                <w:szCs w:val="20"/>
              </w:rPr>
              <w:t>and compare the meanings of:</w:t>
            </w:r>
          </w:p>
          <w:p w:rsidR="00FF6BDD" w:rsidRPr="00316378" w:rsidRDefault="00FF6BDD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renewable resources</w:t>
            </w:r>
          </w:p>
          <w:p w:rsidR="007C364D" w:rsidRPr="00316378" w:rsidRDefault="00BE0A24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non-renewable resource</w:t>
            </w:r>
            <w:r w:rsidR="00FF6BDD" w:rsidRPr="00316378">
              <w:rPr>
                <w:rFonts w:cs="Arial"/>
                <w:szCs w:val="20"/>
              </w:rPr>
              <w:t>s</w:t>
            </w:r>
          </w:p>
          <w:p w:rsidR="00FF6BDD" w:rsidRPr="00316378" w:rsidRDefault="00FF6BDD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sustainable resources</w:t>
            </w:r>
          </w:p>
          <w:p w:rsidR="00E1528D" w:rsidRPr="00316378" w:rsidRDefault="00E1528D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access data to </w:t>
            </w:r>
            <w:r w:rsidR="00FF6BDD" w:rsidRPr="00316378">
              <w:rPr>
                <w:rFonts w:ascii="Arial" w:hAnsi="Arial" w:cs="Arial"/>
                <w:sz w:val="20"/>
                <w:szCs w:val="20"/>
              </w:rPr>
              <w:t>locate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and mark on a map of Australia,</w:t>
            </w:r>
            <w:r w:rsidR="00FF6BDD" w:rsidRPr="00316378">
              <w:rPr>
                <w:rFonts w:ascii="Arial" w:hAnsi="Arial" w:cs="Arial"/>
                <w:sz w:val="20"/>
                <w:szCs w:val="20"/>
              </w:rPr>
              <w:t xml:space="preserve"> important economic </w:t>
            </w:r>
            <w:r w:rsidRPr="00316378">
              <w:rPr>
                <w:rFonts w:ascii="Arial" w:hAnsi="Arial" w:cs="Arial"/>
                <w:sz w:val="20"/>
                <w:szCs w:val="20"/>
              </w:rPr>
              <w:t>deposits of:</w:t>
            </w:r>
          </w:p>
          <w:p w:rsidR="00E1528D" w:rsidRPr="00316378" w:rsidRDefault="00E1528D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minerals</w:t>
            </w:r>
          </w:p>
          <w:p w:rsidR="00E1528D" w:rsidRPr="00316378" w:rsidRDefault="00E1528D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ores</w:t>
            </w:r>
          </w:p>
          <w:p w:rsidR="00FF6BDD" w:rsidRPr="00316378" w:rsidRDefault="00FF6BDD" w:rsidP="007648C5">
            <w:pPr>
              <w:pStyle w:val="ListBullet2"/>
              <w:ind w:left="786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fossil fuels</w:t>
            </w:r>
          </w:p>
          <w:p w:rsidR="00FF6BDD" w:rsidRPr="00316378" w:rsidRDefault="00E1528D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use this data to justify why these deposits are considered to be economically important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4A8B" w:rsidRDefault="00464A8B" w:rsidP="00074E2A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464A8B">
              <w:rPr>
                <w:rFonts w:ascii="Arial" w:hAnsi="Arial" w:cs="Arial"/>
                <w:sz w:val="20"/>
                <w:szCs w:val="20"/>
              </w:rPr>
              <w:t>Operating mines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6" w:history="1">
              <w:r w:rsidRPr="0056438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http://www.australianminesatlas.gov.au/</w:t>
              </w:r>
            </w:hyperlink>
          </w:p>
          <w:p w:rsidR="007C364D" w:rsidRPr="00316378" w:rsidRDefault="007C364D" w:rsidP="000A6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64D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7C364D" w:rsidRPr="00316378" w:rsidRDefault="00345CD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analyse the economic importance of </w:t>
            </w:r>
            <w:r w:rsidRPr="00316378">
              <w:rPr>
                <w:rFonts w:ascii="Arial" w:hAnsi="Arial" w:cs="Arial"/>
                <w:sz w:val="20"/>
                <w:szCs w:val="20"/>
              </w:rPr>
              <w:t>Australia’s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non-renewable resources (ACSES061)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6BDBA816" wp14:editId="64CC39BE">
                  <wp:extent cx="123825" cy="104775"/>
                  <wp:effectExtent l="0" t="0" r="0" b="0"/>
                  <wp:docPr id="49" name="image90.png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 title="Critical and creative thinking ic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9D0217E" wp14:editId="10A18EBB">
                  <wp:extent cx="133985" cy="103505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20ED5901" wp14:editId="4C7C3043">
                  <wp:extent cx="76200" cy="104775"/>
                  <wp:effectExtent l="0" t="0" r="0" b="0"/>
                  <wp:docPr id="115" name="image157.png" title="Num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.png" title="Numeracy ico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31637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114300" distB="114300" distL="114300" distR="114300" wp14:anchorId="53545D52" wp14:editId="668CEA9A">
                  <wp:extent cx="104775" cy="104775"/>
                  <wp:effectExtent l="0" t="0" r="0" b="0"/>
                  <wp:docPr id="163" name="image205.png" title="Work and enterpri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.png" title="Work and enterprise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0F2D" w:rsidRPr="00316378" w:rsidRDefault="00720F2D" w:rsidP="00074E2A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 xml:space="preserve">access graphs/charts of </w:t>
            </w:r>
            <w:r w:rsidR="00CF790D">
              <w:rPr>
                <w:rFonts w:ascii="Arial" w:hAnsi="Arial" w:cs="Arial"/>
                <w:sz w:val="20"/>
                <w:szCs w:val="20"/>
              </w:rPr>
              <w:t>the percentage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D1C34" w:rsidRPr="00316378">
              <w:rPr>
                <w:rFonts w:ascii="Arial" w:hAnsi="Arial" w:cs="Arial"/>
                <w:sz w:val="20"/>
                <w:szCs w:val="20"/>
              </w:rPr>
              <w:t xml:space="preserve">Australia’s </w:t>
            </w:r>
            <w:r w:rsidRPr="00316378">
              <w:rPr>
                <w:rFonts w:ascii="Arial" w:hAnsi="Arial" w:cs="Arial"/>
                <w:sz w:val="20"/>
                <w:szCs w:val="20"/>
              </w:rPr>
              <w:t>GDP over time</w:t>
            </w:r>
          </w:p>
          <w:p w:rsidR="00997744" w:rsidRPr="00316378" w:rsidRDefault="0099774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determine the relative importance of non-renewable resources on Australia’s GDP</w:t>
            </w:r>
          </w:p>
          <w:p w:rsidR="00997744" w:rsidRPr="00316378" w:rsidRDefault="0099774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discuss the impact on GDP if Australia were to reduce mining and production of fossil fuels over the next 30 years</w:t>
            </w:r>
          </w:p>
          <w:p w:rsidR="007C364D" w:rsidRPr="00316378" w:rsidRDefault="0099774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discuss alternatives that could replace the fossil fuel component of GDP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64D" w:rsidRPr="00316378" w:rsidRDefault="007C364D" w:rsidP="000A6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64D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345CD4" w:rsidRPr="00316378" w:rsidRDefault="00345CD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investigate and assess the </w:t>
            </w:r>
            <w:r w:rsidRPr="00316378">
              <w:rPr>
                <w:rFonts w:ascii="Arial" w:hAnsi="Arial" w:cs="Arial"/>
                <w:sz w:val="20"/>
                <w:szCs w:val="20"/>
              </w:rPr>
              <w:t>appropriateness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of direct sampling techniques and remote sensing techniques in discovering non-renewable resources (ACSES073), including but not limited to:</w:t>
            </w:r>
          </w:p>
          <w:p w:rsidR="00345CD4" w:rsidRPr="00316378" w:rsidRDefault="00345CD4" w:rsidP="007648C5">
            <w:pPr>
              <w:pStyle w:val="ListBullet2"/>
              <w:ind w:left="720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satellite images</w:t>
            </w:r>
          </w:p>
          <w:p w:rsidR="00345CD4" w:rsidRPr="00316378" w:rsidRDefault="00345CD4" w:rsidP="007648C5">
            <w:pPr>
              <w:pStyle w:val="ListBullet2"/>
              <w:ind w:left="720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aerial photographs</w:t>
            </w:r>
          </w:p>
          <w:p w:rsidR="00345CD4" w:rsidRPr="00316378" w:rsidRDefault="00345CD4" w:rsidP="007648C5">
            <w:pPr>
              <w:pStyle w:val="ListBullet2"/>
              <w:ind w:left="720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geophysical data</w:t>
            </w:r>
          </w:p>
          <w:p w:rsidR="007C364D" w:rsidRPr="00316378" w:rsidRDefault="007C364D" w:rsidP="000A6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35D3" w:rsidRPr="00316378" w:rsidRDefault="00FB1E31" w:rsidP="00074E2A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i</w:t>
            </w:r>
            <w:r w:rsidR="00C135D3" w:rsidRPr="00316378">
              <w:rPr>
                <w:rFonts w:ascii="Arial" w:hAnsi="Arial" w:cs="Arial"/>
                <w:sz w:val="20"/>
                <w:szCs w:val="20"/>
                <w:lang w:eastAsia="en-AU"/>
              </w:rPr>
              <w:t>dentify and describe a range of techniques used in:</w:t>
            </w:r>
          </w:p>
          <w:p w:rsidR="00C135D3" w:rsidRPr="00316378" w:rsidRDefault="00FB1E31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d</w:t>
            </w:r>
            <w:r w:rsidR="00C135D3" w:rsidRPr="00316378">
              <w:rPr>
                <w:rFonts w:cs="Arial"/>
                <w:szCs w:val="20"/>
                <w:lang w:eastAsia="en-AU"/>
              </w:rPr>
              <w:t>irect sampling</w:t>
            </w:r>
          </w:p>
          <w:p w:rsidR="00C135D3" w:rsidRPr="00316378" w:rsidRDefault="00FB1E31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r</w:t>
            </w:r>
            <w:r w:rsidR="00C135D3" w:rsidRPr="00316378">
              <w:rPr>
                <w:rFonts w:cs="Arial"/>
                <w:szCs w:val="20"/>
                <w:lang w:eastAsia="en-AU"/>
              </w:rPr>
              <w:t>emote sensing</w:t>
            </w:r>
          </w:p>
          <w:p w:rsidR="00FB1E31" w:rsidRPr="00316378" w:rsidRDefault="00FB1E31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assess the usefulness of data obtained to identify the location, type, quality and amount of non-renewable resources gained by:</w:t>
            </w:r>
          </w:p>
          <w:p w:rsidR="00FB1E31" w:rsidRPr="00316378" w:rsidRDefault="00997744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 xml:space="preserve">magnetic </w:t>
            </w:r>
            <w:r w:rsidR="00FB1E31" w:rsidRPr="00316378">
              <w:rPr>
                <w:rFonts w:cs="Arial"/>
                <w:szCs w:val="20"/>
                <w:lang w:eastAsia="en-AU"/>
              </w:rPr>
              <w:t>survey</w:t>
            </w:r>
          </w:p>
          <w:p w:rsidR="00997744" w:rsidRPr="00316378" w:rsidRDefault="00FB1E31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radiometric survey</w:t>
            </w:r>
          </w:p>
          <w:p w:rsidR="00FB1E31" w:rsidRPr="00316378" w:rsidRDefault="00FB1E31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aerial photography</w:t>
            </w:r>
          </w:p>
          <w:p w:rsidR="00FB1E31" w:rsidRPr="00316378" w:rsidRDefault="00FB1E31" w:rsidP="007648C5">
            <w:pPr>
              <w:pStyle w:val="ListBullet2"/>
              <w:ind w:left="786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satellite images</w:t>
            </w:r>
          </w:p>
          <w:p w:rsidR="007C364D" w:rsidRPr="00316378" w:rsidRDefault="00997744" w:rsidP="00CF790D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assess an area for drilling using raw data of a given area</w:t>
            </w:r>
            <w:r w:rsidR="00FB1E31"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using r</w:t>
            </w:r>
            <w:r w:rsidR="00F448B7" w:rsidRPr="00316378">
              <w:rPr>
                <w:rFonts w:ascii="Arial" w:hAnsi="Arial" w:cs="Arial"/>
                <w:sz w:val="20"/>
                <w:szCs w:val="20"/>
                <w:lang w:eastAsia="en-AU"/>
              </w:rPr>
              <w:t>esources such as geological map</w:t>
            </w:r>
            <w:r w:rsidR="00F443B5">
              <w:rPr>
                <w:rFonts w:ascii="Arial" w:hAnsi="Arial" w:cs="Arial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64D" w:rsidRPr="00316378" w:rsidRDefault="00CF790D" w:rsidP="00074E2A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CF790D">
              <w:rPr>
                <w:rFonts w:ascii="Arial" w:hAnsi="Arial" w:cs="Arial"/>
                <w:sz w:val="20"/>
                <w:szCs w:val="20"/>
              </w:rPr>
              <w:t xml:space="preserve">Geological maps </w:t>
            </w:r>
            <w:hyperlink r:id="rId38" w:history="1">
              <w:r w:rsidRPr="00316378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http://www.resourcesandenergy.nsw.gov.au/__data/assets/pdf_file/0011/279623/00121-quarterly_notes_jun06.pdf</w:t>
              </w:r>
            </w:hyperlink>
          </w:p>
        </w:tc>
      </w:tr>
      <w:tr w:rsidR="007C364D" w:rsidRPr="00316378" w:rsidTr="009809D3">
        <w:trPr>
          <w:tblHeader/>
        </w:trPr>
        <w:tc>
          <w:tcPr>
            <w:tcW w:w="41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429" w:rsidRPr="00D35429" w:rsidRDefault="00D35429" w:rsidP="00D354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29">
              <w:rPr>
                <w:rFonts w:ascii="Arial" w:hAnsi="Arial" w:cs="Arial"/>
                <w:b/>
                <w:sz w:val="20"/>
                <w:szCs w:val="20"/>
              </w:rPr>
              <w:t>Students:</w:t>
            </w:r>
          </w:p>
          <w:p w:rsidR="00345CD4" w:rsidRPr="00316378" w:rsidRDefault="00345CD4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investigate the locations and extraction methods of, for example: (ACSES074)</w:t>
            </w:r>
          </w:p>
          <w:p w:rsidR="00345CD4" w:rsidRPr="00316378" w:rsidRDefault="00345CD4" w:rsidP="007648C5">
            <w:pPr>
              <w:pStyle w:val="ListBullet2"/>
              <w:ind w:left="720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open-pit mining</w:t>
            </w:r>
          </w:p>
          <w:p w:rsidR="00345CD4" w:rsidRPr="00316378" w:rsidRDefault="00345CD4" w:rsidP="007648C5">
            <w:pPr>
              <w:pStyle w:val="ListBullet2"/>
              <w:ind w:left="720"/>
              <w:rPr>
                <w:rFonts w:cs="Arial"/>
                <w:szCs w:val="20"/>
                <w:lang w:eastAsia="en-AU"/>
              </w:rPr>
            </w:pPr>
            <w:r w:rsidRPr="00316378">
              <w:rPr>
                <w:rFonts w:cs="Arial"/>
                <w:szCs w:val="20"/>
                <w:lang w:eastAsia="en-AU"/>
              </w:rPr>
              <w:t>underground mining methods</w:t>
            </w:r>
          </w:p>
          <w:p w:rsidR="007C364D" w:rsidRPr="00316378" w:rsidRDefault="00345CD4" w:rsidP="007648C5">
            <w:pPr>
              <w:pStyle w:val="ListBullet2"/>
              <w:ind w:left="720"/>
              <w:rPr>
                <w:rFonts w:cs="Arial"/>
                <w:b/>
                <w:szCs w:val="20"/>
              </w:rPr>
            </w:pPr>
            <w:r w:rsidRPr="00316378">
              <w:rPr>
                <w:rFonts w:cs="Arial"/>
                <w:szCs w:val="20"/>
                <w:lang w:eastAsia="en-AU"/>
              </w:rPr>
              <w:t>offshore and onshore drilling</w:t>
            </w:r>
          </w:p>
        </w:tc>
        <w:tc>
          <w:tcPr>
            <w:tcW w:w="7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4A8B" w:rsidRDefault="00464A8B" w:rsidP="00074E2A">
            <w:pPr>
              <w:numPr>
                <w:ilvl w:val="0"/>
                <w:numId w:val="7"/>
              </w:numPr>
              <w:spacing w:before="20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a nominated mine or resource,</w:t>
            </w: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groups,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and share the following information:</w:t>
            </w:r>
          </w:p>
          <w:p w:rsidR="007C364D" w:rsidRPr="00316378" w:rsidRDefault="00BF5902" w:rsidP="007648C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  <w:lang w:eastAsia="en-AU"/>
              </w:rPr>
              <w:t>using</w:t>
            </w:r>
            <w:r w:rsidRPr="00316378">
              <w:rPr>
                <w:rFonts w:ascii="Arial" w:hAnsi="Arial" w:cs="Arial"/>
                <w:sz w:val="20"/>
                <w:szCs w:val="20"/>
              </w:rPr>
              <w:t xml:space="preserve"> the data previously gathered on Australia’s non-renewable resources, identify the locations using the following extraction methods:</w:t>
            </w:r>
          </w:p>
          <w:p w:rsidR="00BF5902" w:rsidRPr="00316378" w:rsidRDefault="00BF5902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open-pit mining</w:t>
            </w:r>
          </w:p>
          <w:p w:rsidR="00BF5902" w:rsidRPr="00316378" w:rsidRDefault="00BF5902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underground mining methods</w:t>
            </w:r>
          </w:p>
          <w:p w:rsidR="00BF5902" w:rsidRPr="00316378" w:rsidRDefault="00BF5902" w:rsidP="007648C5">
            <w:pPr>
              <w:pStyle w:val="ListBullet2"/>
              <w:ind w:left="720"/>
              <w:rPr>
                <w:rFonts w:cs="Arial"/>
                <w:szCs w:val="20"/>
              </w:rPr>
            </w:pPr>
            <w:r w:rsidRPr="00316378">
              <w:rPr>
                <w:rFonts w:cs="Arial"/>
                <w:szCs w:val="20"/>
              </w:rPr>
              <w:t>offshore and onshore drilling</w:t>
            </w:r>
          </w:p>
          <w:p w:rsidR="00464A8B" w:rsidRPr="00316378" w:rsidRDefault="00BF5902" w:rsidP="00F443B5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378">
              <w:rPr>
                <w:rFonts w:ascii="Arial" w:hAnsi="Arial" w:cs="Arial"/>
                <w:sz w:val="20"/>
                <w:szCs w:val="20"/>
              </w:rPr>
              <w:t>describe the environmental effects of the extraction methods used</w:t>
            </w:r>
          </w:p>
        </w:tc>
        <w:tc>
          <w:tcPr>
            <w:tcW w:w="4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4A8B" w:rsidRPr="00464A8B" w:rsidRDefault="00464A8B" w:rsidP="00464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433" w:rsidRDefault="00554433">
      <w:pPr>
        <w:rPr>
          <w:rFonts w:ascii="Arial" w:hAnsi="Arial" w:cs="Arial"/>
          <w:sz w:val="20"/>
          <w:szCs w:val="20"/>
        </w:rPr>
      </w:pPr>
    </w:p>
    <w:p w:rsidR="00554433" w:rsidRDefault="0055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4433" w:rsidRPr="00554433" w:rsidRDefault="00554433" w:rsidP="00554433">
      <w:pPr>
        <w:rPr>
          <w:rFonts w:ascii="Arial" w:hAnsi="Arial" w:cs="Arial"/>
          <w:b/>
          <w:color w:val="000000"/>
          <w:sz w:val="24"/>
          <w:szCs w:val="24"/>
          <w:lang w:eastAsia="en-AU"/>
        </w:rPr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>Reflection and Evaluation</w:t>
      </w:r>
      <w:bookmarkStart w:id="21" w:name="_GoBack"/>
      <w:bookmarkEnd w:id="21"/>
    </w:p>
    <w:p w:rsidR="00554433" w:rsidRDefault="00554433" w:rsidP="00554433">
      <w:pPr>
        <w:rPr>
          <w:b/>
        </w:rPr>
      </w:pPr>
    </w:p>
    <w:p w:rsidR="00554433" w:rsidRPr="00554433" w:rsidRDefault="00554433" w:rsidP="00554433">
      <w:pPr>
        <w:rPr>
          <w:rFonts w:ascii="Arial" w:hAnsi="Arial" w:cs="Arial"/>
          <w:b/>
          <w:color w:val="000000"/>
          <w:sz w:val="24"/>
          <w:szCs w:val="24"/>
          <w:lang w:eastAsia="en-AU"/>
        </w:rPr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>TEACHER:</w:t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  <w:t>CLASS:</w:t>
      </w:r>
    </w:p>
    <w:p w:rsidR="00554433" w:rsidRDefault="00554433" w:rsidP="00554433">
      <w:pPr>
        <w:rPr>
          <w:rFonts w:ascii="Calibri" w:hAnsi="Calibri"/>
          <w:b/>
        </w:rPr>
      </w:pPr>
    </w:p>
    <w:p w:rsidR="00554433" w:rsidRPr="007F3DA8" w:rsidRDefault="00554433" w:rsidP="00554433">
      <w:pPr>
        <w:rPr>
          <w:rFonts w:ascii="Calibri" w:hAnsi="Calibri"/>
          <w:b/>
        </w:rPr>
      </w:pPr>
    </w:p>
    <w:p w:rsidR="00554433" w:rsidRPr="00554433" w:rsidRDefault="00554433" w:rsidP="00554433">
      <w:pPr>
        <w:rPr>
          <w:rFonts w:ascii="Arial" w:hAnsi="Arial" w:cs="Arial"/>
          <w:b/>
          <w:color w:val="000000"/>
          <w:sz w:val="24"/>
          <w:szCs w:val="24"/>
          <w:lang w:eastAsia="en-AU"/>
        </w:rPr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>DATE UNIT COMMENCED:</w:t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</w: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ab/>
        <w:t>DATE UNIT CONCLUDED:</w:t>
      </w:r>
    </w:p>
    <w:p w:rsidR="00554433" w:rsidRPr="00956E5D" w:rsidRDefault="00554433" w:rsidP="00554433">
      <w:pPr>
        <w:numPr>
          <w:ilvl w:val="0"/>
          <w:numId w:val="49"/>
        </w:numPr>
        <w:suppressAutoHyphens/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Variations to program: </w:t>
      </w:r>
      <w:r w:rsidRPr="00956E5D">
        <w:t xml:space="preserve">(List additional resources and outline alternative strategies used.  </w:t>
      </w:r>
    </w:p>
    <w:p w:rsidR="00554433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Pr="00956E5D" w:rsidRDefault="00554433" w:rsidP="00554433">
      <w:pPr>
        <w:numPr>
          <w:ilvl w:val="0"/>
          <w:numId w:val="48"/>
        </w:numPr>
        <w:suppressAutoHyphens/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The most effective teaching/ learning strategies and resources in this unit were: </w:t>
      </w:r>
      <w:r w:rsidRPr="00956E5D">
        <w:t>(Please nominate 3 at least)</w:t>
      </w:r>
    </w:p>
    <w:p w:rsidR="00554433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Pr="00956E5D" w:rsidRDefault="00554433" w:rsidP="00554433">
      <w:pPr>
        <w:numPr>
          <w:ilvl w:val="0"/>
          <w:numId w:val="50"/>
        </w:numPr>
        <w:suppressAutoHyphens/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>Less effective teaching strategies and resources for this unit were:</w:t>
      </w:r>
      <w:r w:rsidRPr="00956E5D">
        <w:rPr>
          <w:b/>
        </w:rPr>
        <w:t xml:space="preserve"> </w:t>
      </w:r>
      <w:r w:rsidRPr="00956E5D">
        <w:t>(Please nominate 2 at least)</w:t>
      </w:r>
    </w:p>
    <w:p w:rsidR="00554433" w:rsidRDefault="00554433" w:rsidP="00554433"/>
    <w:p w:rsidR="00554433" w:rsidRPr="00956E5D" w:rsidRDefault="00554433" w:rsidP="00554433"/>
    <w:p w:rsidR="00554433" w:rsidRPr="00956E5D" w:rsidRDefault="00554433" w:rsidP="00554433"/>
    <w:p w:rsidR="00554433" w:rsidRDefault="00554433" w:rsidP="00554433">
      <w:pPr>
        <w:rPr>
          <w:b/>
        </w:rPr>
      </w:pPr>
    </w:p>
    <w:p w:rsidR="00554433" w:rsidRDefault="00554433" w:rsidP="00554433">
      <w:pPr>
        <w:rPr>
          <w:b/>
        </w:rPr>
      </w:pPr>
    </w:p>
    <w:p w:rsidR="00554433" w:rsidRDefault="00554433" w:rsidP="00554433">
      <w:pPr>
        <w:rPr>
          <w:b/>
        </w:rPr>
      </w:pPr>
    </w:p>
    <w:p w:rsidR="00554433" w:rsidRPr="00956E5D" w:rsidRDefault="00554433" w:rsidP="00554433">
      <w:pPr>
        <w:rPr>
          <w:b/>
        </w:rPr>
      </w:pPr>
    </w:p>
    <w:p w:rsidR="00554433" w:rsidRPr="00554433" w:rsidRDefault="00554433" w:rsidP="00554433">
      <w:pPr>
        <w:rPr>
          <w:rFonts w:ascii="Arial" w:hAnsi="Arial" w:cs="Arial"/>
          <w:b/>
          <w:color w:val="000000"/>
          <w:sz w:val="24"/>
          <w:szCs w:val="24"/>
          <w:lang w:eastAsia="en-AU"/>
        </w:rPr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 xml:space="preserve">TEACHER’S SIGNATURE_________________________________________ </w:t>
      </w:r>
    </w:p>
    <w:p w:rsidR="00554433" w:rsidRPr="00554433" w:rsidRDefault="00554433" w:rsidP="00554433">
      <w:pPr>
        <w:rPr>
          <w:rFonts w:ascii="Arial" w:hAnsi="Arial" w:cs="Arial"/>
          <w:b/>
          <w:color w:val="000000"/>
          <w:sz w:val="24"/>
          <w:szCs w:val="24"/>
          <w:lang w:eastAsia="en-AU"/>
        </w:rPr>
      </w:pPr>
    </w:p>
    <w:p w:rsidR="00554433" w:rsidRPr="00554433" w:rsidRDefault="00554433" w:rsidP="00554433">
      <w:pPr>
        <w:rPr>
          <w:rFonts w:ascii="Arial" w:hAnsi="Arial" w:cs="Arial"/>
          <w:b/>
          <w:color w:val="000000"/>
          <w:sz w:val="24"/>
          <w:szCs w:val="24"/>
          <w:lang w:eastAsia="en-AU"/>
        </w:rPr>
      </w:pPr>
      <w:r w:rsidRPr="00554433">
        <w:rPr>
          <w:rFonts w:ascii="Arial" w:hAnsi="Arial" w:cs="Arial"/>
          <w:b/>
          <w:color w:val="000000"/>
          <w:sz w:val="24"/>
          <w:szCs w:val="24"/>
          <w:lang w:eastAsia="en-AU"/>
        </w:rPr>
        <w:t>DATED____________________CHECKED________________________________</w:t>
      </w:r>
    </w:p>
    <w:p w:rsidR="00554433" w:rsidRPr="00554433" w:rsidRDefault="00554433" w:rsidP="00554433">
      <w:pPr>
        <w:rPr>
          <w:rFonts w:ascii="Arial" w:hAnsi="Arial" w:cs="Arial"/>
          <w:b/>
          <w:color w:val="000000"/>
          <w:sz w:val="24"/>
          <w:szCs w:val="24"/>
          <w:lang w:eastAsia="en-AU"/>
        </w:rPr>
      </w:pPr>
    </w:p>
    <w:p w:rsidR="007C364D" w:rsidRPr="00554433" w:rsidRDefault="007C364D" w:rsidP="00554433">
      <w:pPr>
        <w:rPr>
          <w:rFonts w:ascii="Arial" w:hAnsi="Arial" w:cs="Arial"/>
          <w:sz w:val="20"/>
          <w:szCs w:val="20"/>
        </w:rPr>
      </w:pPr>
    </w:p>
    <w:sectPr w:rsidR="007C364D" w:rsidRPr="00554433" w:rsidSect="005169DC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53" w:rsidRDefault="001A4253" w:rsidP="005C01F1">
      <w:r>
        <w:separator/>
      </w:r>
    </w:p>
  </w:endnote>
  <w:endnote w:type="continuationSeparator" w:id="0">
    <w:p w:rsidR="001A4253" w:rsidRDefault="001A4253" w:rsidP="005C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53" w:rsidRDefault="001A4253" w:rsidP="005C01F1">
      <w:r>
        <w:separator/>
      </w:r>
    </w:p>
  </w:footnote>
  <w:footnote w:type="continuationSeparator" w:id="0">
    <w:p w:rsidR="001A4253" w:rsidRDefault="001A4253" w:rsidP="005C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E63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F6C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ACA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328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2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CC8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A0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B2B88C"/>
    <w:lvl w:ilvl="0">
      <w:start w:val="1"/>
      <w:numFmt w:val="bullet"/>
      <w:pStyle w:val="ListBullet2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4E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620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5E12996"/>
    <w:multiLevelType w:val="hybridMultilevel"/>
    <w:tmpl w:val="B0E6EC64"/>
    <w:lvl w:ilvl="0" w:tplc="4984C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866E1E"/>
    <w:multiLevelType w:val="multilevel"/>
    <w:tmpl w:val="70D40A6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6">
    <w:nsid w:val="09511B63"/>
    <w:multiLevelType w:val="multilevel"/>
    <w:tmpl w:val="C428B6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09CD2CCB"/>
    <w:multiLevelType w:val="multilevel"/>
    <w:tmpl w:val="50ECB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0BDB76F3"/>
    <w:multiLevelType w:val="multilevel"/>
    <w:tmpl w:val="17069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0E0C21FF"/>
    <w:multiLevelType w:val="multilevel"/>
    <w:tmpl w:val="DDC45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161C61C3"/>
    <w:multiLevelType w:val="multilevel"/>
    <w:tmpl w:val="603EA10A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1">
    <w:nsid w:val="16AE332E"/>
    <w:multiLevelType w:val="multilevel"/>
    <w:tmpl w:val="697C54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1A3474C7"/>
    <w:multiLevelType w:val="multilevel"/>
    <w:tmpl w:val="738078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1A5F5D71"/>
    <w:multiLevelType w:val="multilevel"/>
    <w:tmpl w:val="E098B07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4">
    <w:nsid w:val="1FBC174E"/>
    <w:multiLevelType w:val="multilevel"/>
    <w:tmpl w:val="5D366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264C5F1B"/>
    <w:multiLevelType w:val="multilevel"/>
    <w:tmpl w:val="97AE9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27CE4F9F"/>
    <w:multiLevelType w:val="multilevel"/>
    <w:tmpl w:val="939A27F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7">
    <w:nsid w:val="397C0FC8"/>
    <w:multiLevelType w:val="multilevel"/>
    <w:tmpl w:val="2B723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47E60CB7"/>
    <w:multiLevelType w:val="multilevel"/>
    <w:tmpl w:val="DE982F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4CCF77AA"/>
    <w:multiLevelType w:val="multilevel"/>
    <w:tmpl w:val="F0E8B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51CB29F7"/>
    <w:multiLevelType w:val="multilevel"/>
    <w:tmpl w:val="4B30F08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1">
    <w:nsid w:val="527F0C0E"/>
    <w:multiLevelType w:val="multilevel"/>
    <w:tmpl w:val="401AB82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2">
    <w:nsid w:val="530817D5"/>
    <w:multiLevelType w:val="multilevel"/>
    <w:tmpl w:val="1A7A1CF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3">
    <w:nsid w:val="56042945"/>
    <w:multiLevelType w:val="multilevel"/>
    <w:tmpl w:val="EF182DC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4">
    <w:nsid w:val="571A51D7"/>
    <w:multiLevelType w:val="multilevel"/>
    <w:tmpl w:val="F6D281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586E3762"/>
    <w:multiLevelType w:val="multilevel"/>
    <w:tmpl w:val="DDB063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59316BAD"/>
    <w:multiLevelType w:val="multilevel"/>
    <w:tmpl w:val="380803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593A5AFF"/>
    <w:multiLevelType w:val="multilevel"/>
    <w:tmpl w:val="547C8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6E312279"/>
    <w:multiLevelType w:val="hybridMultilevel"/>
    <w:tmpl w:val="AF84ED6C"/>
    <w:lvl w:ilvl="0" w:tplc="EF08A64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1115FD"/>
    <w:multiLevelType w:val="multilevel"/>
    <w:tmpl w:val="7C3A2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7DC37EE1"/>
    <w:multiLevelType w:val="multilevel"/>
    <w:tmpl w:val="C270E18A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41">
    <w:nsid w:val="7F8A2738"/>
    <w:multiLevelType w:val="multilevel"/>
    <w:tmpl w:val="892A9A3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3"/>
  </w:num>
  <w:num w:numId="8">
    <w:abstractNumId w:val="14"/>
  </w:num>
  <w:num w:numId="9">
    <w:abstractNumId w:val="25"/>
  </w:num>
  <w:num w:numId="10">
    <w:abstractNumId w:val="30"/>
  </w:num>
  <w:num w:numId="11">
    <w:abstractNumId w:val="39"/>
  </w:num>
  <w:num w:numId="12">
    <w:abstractNumId w:val="29"/>
  </w:num>
  <w:num w:numId="13">
    <w:abstractNumId w:val="35"/>
  </w:num>
  <w:num w:numId="14">
    <w:abstractNumId w:val="32"/>
  </w:num>
  <w:num w:numId="15">
    <w:abstractNumId w:val="31"/>
  </w:num>
  <w:num w:numId="16">
    <w:abstractNumId w:val="20"/>
  </w:num>
  <w:num w:numId="17">
    <w:abstractNumId w:val="33"/>
  </w:num>
  <w:num w:numId="18">
    <w:abstractNumId w:val="34"/>
  </w:num>
  <w:num w:numId="19">
    <w:abstractNumId w:val="18"/>
  </w:num>
  <w:num w:numId="20">
    <w:abstractNumId w:val="21"/>
  </w:num>
  <w:num w:numId="21">
    <w:abstractNumId w:val="15"/>
  </w:num>
  <w:num w:numId="22">
    <w:abstractNumId w:val="40"/>
  </w:num>
  <w:num w:numId="23">
    <w:abstractNumId w:val="19"/>
  </w:num>
  <w:num w:numId="24">
    <w:abstractNumId w:val="24"/>
  </w:num>
  <w:num w:numId="25">
    <w:abstractNumId w:val="17"/>
  </w:num>
  <w:num w:numId="26">
    <w:abstractNumId w:val="26"/>
  </w:num>
  <w:num w:numId="27">
    <w:abstractNumId w:val="41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2"/>
  </w:num>
  <w:num w:numId="37">
    <w:abstractNumId w:val="28"/>
  </w:num>
  <w:num w:numId="38">
    <w:abstractNumId w:val="38"/>
  </w:num>
  <w:num w:numId="39">
    <w:abstractNumId w:val="37"/>
  </w:num>
  <w:num w:numId="40">
    <w:abstractNumId w:val="16"/>
  </w:num>
  <w:num w:numId="41">
    <w:abstractNumId w:val="36"/>
  </w:num>
  <w:num w:numId="42">
    <w:abstractNumId w:val="27"/>
  </w:num>
  <w:num w:numId="43">
    <w:abstractNumId w:val="38"/>
  </w:num>
  <w:num w:numId="44">
    <w:abstractNumId w:val="38"/>
  </w:num>
  <w:num w:numId="45">
    <w:abstractNumId w:val="38"/>
  </w:num>
  <w:num w:numId="46">
    <w:abstractNumId w:val="38"/>
  </w:num>
  <w:num w:numId="47">
    <w:abstractNumId w:val="10"/>
  </w:num>
  <w:num w:numId="48">
    <w:abstractNumId w:val="11"/>
  </w:num>
  <w:num w:numId="49">
    <w:abstractNumId w:val="1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2"/>
    <w:rsid w:val="000007DA"/>
    <w:rsid w:val="0000651F"/>
    <w:rsid w:val="00006AE7"/>
    <w:rsid w:val="00013ADB"/>
    <w:rsid w:val="00074E2A"/>
    <w:rsid w:val="000A04C7"/>
    <w:rsid w:val="000F344D"/>
    <w:rsid w:val="0016083F"/>
    <w:rsid w:val="001A4253"/>
    <w:rsid w:val="001D6655"/>
    <w:rsid w:val="001E7CF2"/>
    <w:rsid w:val="001F677C"/>
    <w:rsid w:val="00204A2A"/>
    <w:rsid w:val="00205FF7"/>
    <w:rsid w:val="002346D4"/>
    <w:rsid w:val="002820E0"/>
    <w:rsid w:val="002A0952"/>
    <w:rsid w:val="002B7DC1"/>
    <w:rsid w:val="00316378"/>
    <w:rsid w:val="003423BE"/>
    <w:rsid w:val="00345CD4"/>
    <w:rsid w:val="00354448"/>
    <w:rsid w:val="0037444F"/>
    <w:rsid w:val="003954F3"/>
    <w:rsid w:val="003B3FA2"/>
    <w:rsid w:val="003F5253"/>
    <w:rsid w:val="00464A8B"/>
    <w:rsid w:val="004D0185"/>
    <w:rsid w:val="00505052"/>
    <w:rsid w:val="005169DC"/>
    <w:rsid w:val="00531DF8"/>
    <w:rsid w:val="005421E7"/>
    <w:rsid w:val="00554433"/>
    <w:rsid w:val="005C01F1"/>
    <w:rsid w:val="005F787A"/>
    <w:rsid w:val="00600084"/>
    <w:rsid w:val="0061725F"/>
    <w:rsid w:val="0063149E"/>
    <w:rsid w:val="00634701"/>
    <w:rsid w:val="00650180"/>
    <w:rsid w:val="006D0A71"/>
    <w:rsid w:val="006D3E6E"/>
    <w:rsid w:val="006F2D5B"/>
    <w:rsid w:val="0070128C"/>
    <w:rsid w:val="0070198C"/>
    <w:rsid w:val="00720F2D"/>
    <w:rsid w:val="007648C5"/>
    <w:rsid w:val="00787923"/>
    <w:rsid w:val="007A5CB5"/>
    <w:rsid w:val="007C17F9"/>
    <w:rsid w:val="007C364D"/>
    <w:rsid w:val="007F1A15"/>
    <w:rsid w:val="008251D9"/>
    <w:rsid w:val="00847237"/>
    <w:rsid w:val="00890EBE"/>
    <w:rsid w:val="008D00A4"/>
    <w:rsid w:val="008F7575"/>
    <w:rsid w:val="00927897"/>
    <w:rsid w:val="0095318F"/>
    <w:rsid w:val="00972645"/>
    <w:rsid w:val="009809D3"/>
    <w:rsid w:val="00997744"/>
    <w:rsid w:val="009A3F0D"/>
    <w:rsid w:val="009A63EC"/>
    <w:rsid w:val="009D68D4"/>
    <w:rsid w:val="009D70F3"/>
    <w:rsid w:val="009E6C59"/>
    <w:rsid w:val="009F0387"/>
    <w:rsid w:val="00A22E10"/>
    <w:rsid w:val="00AA5BF1"/>
    <w:rsid w:val="00AE480E"/>
    <w:rsid w:val="00AF65D6"/>
    <w:rsid w:val="00B533F4"/>
    <w:rsid w:val="00B7682B"/>
    <w:rsid w:val="00B85CB1"/>
    <w:rsid w:val="00B95970"/>
    <w:rsid w:val="00BA265A"/>
    <w:rsid w:val="00BC5F87"/>
    <w:rsid w:val="00BE0A24"/>
    <w:rsid w:val="00BF1FBB"/>
    <w:rsid w:val="00BF5902"/>
    <w:rsid w:val="00C07F03"/>
    <w:rsid w:val="00C135D3"/>
    <w:rsid w:val="00C13FCD"/>
    <w:rsid w:val="00C30F16"/>
    <w:rsid w:val="00C332FD"/>
    <w:rsid w:val="00C34ED3"/>
    <w:rsid w:val="00C749A5"/>
    <w:rsid w:val="00C75326"/>
    <w:rsid w:val="00CA3FEC"/>
    <w:rsid w:val="00CD0917"/>
    <w:rsid w:val="00CF26C1"/>
    <w:rsid w:val="00CF790D"/>
    <w:rsid w:val="00D238F5"/>
    <w:rsid w:val="00D23B87"/>
    <w:rsid w:val="00D35429"/>
    <w:rsid w:val="00D436DA"/>
    <w:rsid w:val="00D71205"/>
    <w:rsid w:val="00D86501"/>
    <w:rsid w:val="00D95BAF"/>
    <w:rsid w:val="00D965BB"/>
    <w:rsid w:val="00DC6EB5"/>
    <w:rsid w:val="00DD1C34"/>
    <w:rsid w:val="00E020CA"/>
    <w:rsid w:val="00E1528D"/>
    <w:rsid w:val="00E3695A"/>
    <w:rsid w:val="00E6296C"/>
    <w:rsid w:val="00E64362"/>
    <w:rsid w:val="00E8271E"/>
    <w:rsid w:val="00E86F07"/>
    <w:rsid w:val="00F21393"/>
    <w:rsid w:val="00F443B5"/>
    <w:rsid w:val="00F448B7"/>
    <w:rsid w:val="00F50DE1"/>
    <w:rsid w:val="00FB1E31"/>
    <w:rsid w:val="00FD5A2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7F9"/>
  </w:style>
  <w:style w:type="paragraph" w:styleId="Heading1">
    <w:name w:val="heading 1"/>
    <w:basedOn w:val="Normal"/>
    <w:next w:val="Normal"/>
    <w:link w:val="Heading1Char"/>
    <w:rsid w:val="001D6655"/>
    <w:pPr>
      <w:keepNext/>
      <w:keepLines/>
      <w:spacing w:before="240"/>
      <w:outlineLvl w:val="0"/>
    </w:pPr>
    <w:rPr>
      <w:rFonts w:eastAsia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D6655"/>
    <w:pPr>
      <w:keepNext/>
      <w:keepLines/>
      <w:spacing w:before="40"/>
      <w:outlineLvl w:val="1"/>
    </w:pPr>
    <w:rPr>
      <w:rFonts w:eastAsia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D6655"/>
    <w:pPr>
      <w:keepNext/>
      <w:keepLines/>
      <w:spacing w:before="320" w:after="80"/>
      <w:contextualSpacing/>
      <w:outlineLvl w:val="2"/>
    </w:pPr>
    <w:rPr>
      <w:b/>
      <w:color w:val="434343"/>
      <w:szCs w:val="28"/>
    </w:rPr>
  </w:style>
  <w:style w:type="paragraph" w:styleId="Heading4">
    <w:name w:val="heading 4"/>
    <w:basedOn w:val="Normal"/>
    <w:next w:val="Normal"/>
    <w:link w:val="Heading4Char"/>
    <w:rsid w:val="002A0952"/>
    <w:pPr>
      <w:keepNext/>
      <w:keepLines/>
      <w:spacing w:before="240" w:after="40" w:line="276" w:lineRule="auto"/>
      <w:contextualSpacing/>
      <w:outlineLvl w:val="3"/>
    </w:pPr>
    <w:rPr>
      <w:rFonts w:ascii="Arial" w:hAnsi="Arial" w:cs="Arial"/>
      <w:b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655"/>
    <w:rPr>
      <w:rFonts w:ascii="Arial" w:eastAsia="Calibri" w:hAnsi="Arial" w:cs="Calibri"/>
      <w:color w:val="2E75B5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1D6655"/>
    <w:rPr>
      <w:rFonts w:ascii="Arial" w:eastAsia="Calibri" w:hAnsi="Arial" w:cs="Calibri"/>
      <w:color w:val="2E75B5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1D6655"/>
    <w:rPr>
      <w:rFonts w:ascii="Arial" w:eastAsia="Arial" w:hAnsi="Arial" w:cs="Arial"/>
      <w:b/>
      <w:color w:val="434343"/>
      <w:sz w:val="24"/>
      <w:szCs w:val="28"/>
      <w:lang w:eastAsia="en-AU"/>
    </w:rPr>
  </w:style>
  <w:style w:type="paragraph" w:styleId="ListBullet2">
    <w:name w:val="List Bullet 2"/>
    <w:basedOn w:val="Normal"/>
    <w:uiPriority w:val="99"/>
    <w:unhideWhenUsed/>
    <w:rsid w:val="002B7DC1"/>
    <w:pPr>
      <w:numPr>
        <w:numId w:val="2"/>
      </w:numPr>
      <w:contextualSpacing/>
    </w:pPr>
    <w:rPr>
      <w:rFonts w:ascii="Arial" w:eastAsia="Calibri" w:hAnsi="Arial" w:cs="Calibri"/>
      <w:sz w:val="20"/>
    </w:rPr>
  </w:style>
  <w:style w:type="paragraph" w:styleId="ListBullet">
    <w:name w:val="List Bullet"/>
    <w:basedOn w:val="Normal"/>
    <w:autoRedefine/>
    <w:uiPriority w:val="99"/>
    <w:unhideWhenUsed/>
    <w:rsid w:val="002346D4"/>
    <w:pPr>
      <w:numPr>
        <w:numId w:val="38"/>
      </w:numPr>
      <w:contextualSpacing/>
    </w:pPr>
    <w:rPr>
      <w:rFonts w:ascii="Arial" w:eastAsiaTheme="minorHAnsi" w:hAnsi="Arial"/>
      <w:sz w:val="20"/>
    </w:rPr>
  </w:style>
  <w:style w:type="character" w:customStyle="1" w:styleId="Heading4Char">
    <w:name w:val="Heading 4 Char"/>
    <w:basedOn w:val="DefaultParagraphFont"/>
    <w:link w:val="Heading4"/>
    <w:rsid w:val="002A0952"/>
    <w:rPr>
      <w:rFonts w:ascii="Arial" w:hAnsi="Arial" w:cs="Arial"/>
      <w:b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A0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5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F1"/>
  </w:style>
  <w:style w:type="paragraph" w:styleId="Footer">
    <w:name w:val="footer"/>
    <w:basedOn w:val="Normal"/>
    <w:link w:val="FooterChar"/>
    <w:uiPriority w:val="99"/>
    <w:unhideWhenUsed/>
    <w:rsid w:val="005C0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F1"/>
  </w:style>
  <w:style w:type="character" w:styleId="CommentReference">
    <w:name w:val="annotation reference"/>
    <w:basedOn w:val="DefaultParagraphFont"/>
    <w:uiPriority w:val="99"/>
    <w:semiHidden/>
    <w:unhideWhenUsed/>
    <w:rsid w:val="00E82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7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7F9"/>
  </w:style>
  <w:style w:type="paragraph" w:styleId="Heading1">
    <w:name w:val="heading 1"/>
    <w:basedOn w:val="Normal"/>
    <w:next w:val="Normal"/>
    <w:link w:val="Heading1Char"/>
    <w:rsid w:val="001D6655"/>
    <w:pPr>
      <w:keepNext/>
      <w:keepLines/>
      <w:spacing w:before="240"/>
      <w:outlineLvl w:val="0"/>
    </w:pPr>
    <w:rPr>
      <w:rFonts w:eastAsia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D6655"/>
    <w:pPr>
      <w:keepNext/>
      <w:keepLines/>
      <w:spacing w:before="40"/>
      <w:outlineLvl w:val="1"/>
    </w:pPr>
    <w:rPr>
      <w:rFonts w:eastAsia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D6655"/>
    <w:pPr>
      <w:keepNext/>
      <w:keepLines/>
      <w:spacing w:before="320" w:after="80"/>
      <w:contextualSpacing/>
      <w:outlineLvl w:val="2"/>
    </w:pPr>
    <w:rPr>
      <w:b/>
      <w:color w:val="434343"/>
      <w:szCs w:val="28"/>
    </w:rPr>
  </w:style>
  <w:style w:type="paragraph" w:styleId="Heading4">
    <w:name w:val="heading 4"/>
    <w:basedOn w:val="Normal"/>
    <w:next w:val="Normal"/>
    <w:link w:val="Heading4Char"/>
    <w:rsid w:val="002A0952"/>
    <w:pPr>
      <w:keepNext/>
      <w:keepLines/>
      <w:spacing w:before="240" w:after="40" w:line="276" w:lineRule="auto"/>
      <w:contextualSpacing/>
      <w:outlineLvl w:val="3"/>
    </w:pPr>
    <w:rPr>
      <w:rFonts w:ascii="Arial" w:hAnsi="Arial" w:cs="Arial"/>
      <w:b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655"/>
    <w:rPr>
      <w:rFonts w:ascii="Arial" w:eastAsia="Calibri" w:hAnsi="Arial" w:cs="Calibri"/>
      <w:color w:val="2E75B5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1D6655"/>
    <w:rPr>
      <w:rFonts w:ascii="Arial" w:eastAsia="Calibri" w:hAnsi="Arial" w:cs="Calibri"/>
      <w:color w:val="2E75B5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1D6655"/>
    <w:rPr>
      <w:rFonts w:ascii="Arial" w:eastAsia="Arial" w:hAnsi="Arial" w:cs="Arial"/>
      <w:b/>
      <w:color w:val="434343"/>
      <w:sz w:val="24"/>
      <w:szCs w:val="28"/>
      <w:lang w:eastAsia="en-AU"/>
    </w:rPr>
  </w:style>
  <w:style w:type="paragraph" w:styleId="ListBullet2">
    <w:name w:val="List Bullet 2"/>
    <w:basedOn w:val="Normal"/>
    <w:uiPriority w:val="99"/>
    <w:unhideWhenUsed/>
    <w:rsid w:val="002B7DC1"/>
    <w:pPr>
      <w:numPr>
        <w:numId w:val="2"/>
      </w:numPr>
      <w:contextualSpacing/>
    </w:pPr>
    <w:rPr>
      <w:rFonts w:ascii="Arial" w:eastAsia="Calibri" w:hAnsi="Arial" w:cs="Calibri"/>
      <w:sz w:val="20"/>
    </w:rPr>
  </w:style>
  <w:style w:type="paragraph" w:styleId="ListBullet">
    <w:name w:val="List Bullet"/>
    <w:basedOn w:val="Normal"/>
    <w:autoRedefine/>
    <w:uiPriority w:val="99"/>
    <w:unhideWhenUsed/>
    <w:rsid w:val="002346D4"/>
    <w:pPr>
      <w:numPr>
        <w:numId w:val="38"/>
      </w:numPr>
      <w:contextualSpacing/>
    </w:pPr>
    <w:rPr>
      <w:rFonts w:ascii="Arial" w:eastAsiaTheme="minorHAnsi" w:hAnsi="Arial"/>
      <w:sz w:val="20"/>
    </w:rPr>
  </w:style>
  <w:style w:type="character" w:customStyle="1" w:styleId="Heading4Char">
    <w:name w:val="Heading 4 Char"/>
    <w:basedOn w:val="DefaultParagraphFont"/>
    <w:link w:val="Heading4"/>
    <w:rsid w:val="002A0952"/>
    <w:rPr>
      <w:rFonts w:ascii="Arial" w:hAnsi="Arial" w:cs="Arial"/>
      <w:b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A0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5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F1"/>
  </w:style>
  <w:style w:type="paragraph" w:styleId="Footer">
    <w:name w:val="footer"/>
    <w:basedOn w:val="Normal"/>
    <w:link w:val="FooterChar"/>
    <w:uiPriority w:val="99"/>
    <w:unhideWhenUsed/>
    <w:rsid w:val="005C0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F1"/>
  </w:style>
  <w:style w:type="character" w:styleId="CommentReference">
    <w:name w:val="annotation reference"/>
    <w:basedOn w:val="DefaultParagraphFont"/>
    <w:uiPriority w:val="99"/>
    <w:semiHidden/>
    <w:unhideWhenUsed/>
    <w:rsid w:val="00E82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7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11afti_space-with-sam-neill-episode-1-star-stuff_tech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tulane.edu/~sanelson/Natural_Disasters/impacts.htm" TargetMode="External"/><Relationship Id="rId26" Type="http://schemas.openxmlformats.org/officeDocument/2006/relationships/hyperlink" Target="http://www.oldcourthousemuseum.com/Stone%20tools_web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missiontomarsatvssec/home/mission-background-briefing-students/earth-vs-mars/structure-of-the-earth" TargetMode="External"/><Relationship Id="rId34" Type="http://schemas.openxmlformats.org/officeDocument/2006/relationships/hyperlink" Target="https://www.communityheritage.net.au/mount-william-stone-hatchet-quar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ilymotion.com/video/x11afti_space-with-sam-neill-episode-1-star-stuff_tech" TargetMode="External"/><Relationship Id="rId17" Type="http://schemas.openxmlformats.org/officeDocument/2006/relationships/hyperlink" Target="http://ds.iris.edu/seismon/swaves/" TargetMode="External"/><Relationship Id="rId25" Type="http://schemas.openxmlformats.org/officeDocument/2006/relationships/hyperlink" Target="https://museumvictoria.com.au/melbournemuseum/discoverycentre/dynamic-earth/videos/aboriginal-use-of-rocks-and-minerals/" TargetMode="External"/><Relationship Id="rId33" Type="http://schemas.openxmlformats.org/officeDocument/2006/relationships/hyperlink" Target="http://www.ancient-origins.net/ancient-places-australia-oceania/wilgie-mia-ancient-mine-where-ochre-runs-red-kangaroo-blood-001425?nopaging=1" TargetMode="External"/><Relationship Id="rId38" Type="http://schemas.openxmlformats.org/officeDocument/2006/relationships/hyperlink" Target="http://www.resourcesandenergy.nsw.gov.au/__data/assets/pdf_file/0011/279623/00121-quarterly_notes_jun06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www.learner.org/interactives/rockcycle/rockdiagra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koorihistory.com/earth-pigments-ochre/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abc.net.au/science/audio/2014/02/26/3952105.htm" TargetMode="External"/><Relationship Id="rId28" Type="http://schemas.openxmlformats.org/officeDocument/2006/relationships/hyperlink" Target="https://www.youtube.com/watch?v=MZn0I3J2RTg" TargetMode="External"/><Relationship Id="rId36" Type="http://schemas.openxmlformats.org/officeDocument/2006/relationships/hyperlink" Target="http://www.australianminesatlas.gov.au/" TargetMode="External"/><Relationship Id="rId10" Type="http://schemas.openxmlformats.org/officeDocument/2006/relationships/hyperlink" Target="http://www.clw.csiro.au/aclep/soilandlandscapegrid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forces.si.edu/soils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bc.net.au/science/audio/2014/02/26/3952105.htm" TargetMode="External"/><Relationship Id="rId27" Type="http://schemas.openxmlformats.org/officeDocument/2006/relationships/hyperlink" Target="https://www.thoughtco.com/how-to-identify-minerals-1440936" TargetMode="External"/><Relationship Id="rId30" Type="http://schemas.openxmlformats.org/officeDocument/2006/relationships/hyperlink" Target="http://forces.si.edu/soils/" TargetMode="External"/><Relationship Id="rId35" Type="http://schemas.openxmlformats.org/officeDocument/2006/relationships/hyperlink" Target="http://www.vic.gov.au/system/user_files/Documents/av/Quar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Casper</dc:creator>
  <cp:lastModifiedBy>Peter Blanch</cp:lastModifiedBy>
  <cp:revision>49</cp:revision>
  <cp:lastPrinted>2017-01-19T23:31:00Z</cp:lastPrinted>
  <dcterms:created xsi:type="dcterms:W3CDTF">2017-01-18T23:21:00Z</dcterms:created>
  <dcterms:modified xsi:type="dcterms:W3CDTF">2017-04-18T05:28:00Z</dcterms:modified>
</cp:coreProperties>
</file>