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0E45" w14:textId="19DDD09B" w:rsidR="002409CE" w:rsidRDefault="001F1E82" w:rsidP="00B778C4">
      <w:pPr>
        <w:pStyle w:val="Heading1"/>
        <w:rPr>
          <w:b w:val="0"/>
        </w:rPr>
      </w:pPr>
      <w:r w:rsidRPr="006D0321">
        <w:t xml:space="preserve">Sample </w:t>
      </w:r>
      <w:r w:rsidR="000118AE" w:rsidRPr="006D0321">
        <w:t>Formal Assessment Task Notification</w:t>
      </w:r>
      <w:r w:rsidR="006D0321">
        <w:rPr>
          <w:b w:val="0"/>
        </w:rPr>
        <w:t xml:space="preserve"> </w:t>
      </w:r>
    </w:p>
    <w:p w14:paraId="7AF378F9" w14:textId="4C1314C1" w:rsidR="001F1AF6" w:rsidRDefault="00CA6794" w:rsidP="00881061">
      <w:pPr>
        <w:pStyle w:val="Heading1"/>
      </w:pPr>
      <w:r>
        <w:t>Ancient History</w:t>
      </w:r>
      <w:r w:rsidR="000C5790">
        <w:t xml:space="preserve"> – Year</w:t>
      </w:r>
      <w:r>
        <w:t xml:space="preserve"> 11</w:t>
      </w:r>
    </w:p>
    <w:p w14:paraId="3BD8FB41" w14:textId="0E2BC256" w:rsidR="00E80362" w:rsidRDefault="00E80362">
      <w:pPr>
        <w:jc w:val="center"/>
        <w:rPr>
          <w:b/>
          <w:sz w:val="28"/>
        </w:rPr>
      </w:pPr>
      <w:r w:rsidRPr="00E80362">
        <w:rPr>
          <w:b/>
          <w:sz w:val="28"/>
        </w:rPr>
        <w:t>The Investigation of Ancient Sites and Sources</w:t>
      </w:r>
    </w:p>
    <w:p w14:paraId="57E5321F" w14:textId="77777777" w:rsidR="001B7AB8" w:rsidRDefault="001B7AB8" w:rsidP="00881061">
      <w:pPr>
        <w:jc w:val="center"/>
        <w:rPr>
          <w:b/>
          <w:i/>
          <w:sz w:val="20"/>
        </w:rPr>
      </w:pPr>
      <w:r w:rsidRPr="00B071AF">
        <w:rPr>
          <w:b/>
          <w:i/>
          <w:sz w:val="20"/>
        </w:rPr>
        <w:t>Sample for implementation for Year 11 from 2018</w:t>
      </w:r>
    </w:p>
    <w:p w14:paraId="756E51BB" w14:textId="20F4FDBF" w:rsidR="001244AB" w:rsidRPr="00230AC6" w:rsidRDefault="001244AB" w:rsidP="00881061">
      <w:pPr>
        <w:rPr>
          <w:b/>
          <w:sz w:val="22"/>
          <w:szCs w:val="22"/>
        </w:rPr>
      </w:pPr>
      <w:r w:rsidRPr="00230AC6">
        <w:rPr>
          <w:b/>
          <w:sz w:val="22"/>
          <w:szCs w:val="22"/>
        </w:rPr>
        <w:t>Context</w:t>
      </w:r>
    </w:p>
    <w:p w14:paraId="3B793760" w14:textId="545552B3" w:rsidR="001244AB" w:rsidRPr="00230AC6" w:rsidRDefault="00C632E9" w:rsidP="00881061">
      <w:pPr>
        <w:rPr>
          <w:sz w:val="22"/>
          <w:szCs w:val="22"/>
        </w:rPr>
      </w:pPr>
      <w:r>
        <w:rPr>
          <w:sz w:val="22"/>
          <w:szCs w:val="22"/>
        </w:rPr>
        <w:t>In class, s</w:t>
      </w:r>
      <w:r w:rsidR="001244AB" w:rsidRPr="00230AC6">
        <w:rPr>
          <w:sz w:val="22"/>
          <w:szCs w:val="22"/>
        </w:rPr>
        <w:t>tudents have investigated</w:t>
      </w:r>
      <w:r w:rsidR="00E04927">
        <w:rPr>
          <w:sz w:val="22"/>
          <w:szCs w:val="22"/>
        </w:rPr>
        <w:t xml:space="preserve"> the nature of ancient sites and sources, including the contribution of archaeology and science, to understanding the past. </w:t>
      </w:r>
      <w:r w:rsidR="001244AB" w:rsidRPr="00230AC6">
        <w:rPr>
          <w:sz w:val="22"/>
          <w:szCs w:val="22"/>
        </w:rPr>
        <w:t>This task presents an opportunity for stud</w:t>
      </w:r>
      <w:r w:rsidR="00BD2956">
        <w:rPr>
          <w:sz w:val="22"/>
          <w:szCs w:val="22"/>
        </w:rPr>
        <w:t>ents to apply their knowledge and skills</w:t>
      </w:r>
      <w:r w:rsidR="001244AB" w:rsidRPr="00230AC6">
        <w:rPr>
          <w:sz w:val="22"/>
          <w:szCs w:val="22"/>
        </w:rPr>
        <w:t xml:space="preserve"> to </w:t>
      </w:r>
      <w:r w:rsidR="00025A5A">
        <w:rPr>
          <w:sz w:val="22"/>
          <w:szCs w:val="22"/>
        </w:rPr>
        <w:t>the</w:t>
      </w:r>
      <w:r w:rsidR="00230AC6">
        <w:rPr>
          <w:sz w:val="22"/>
          <w:szCs w:val="22"/>
        </w:rPr>
        <w:t xml:space="preserve"> investigation of an ancient site (of their choice), and demonstrate their understanding of archaeolog</w:t>
      </w:r>
      <w:r w:rsidR="00E04927">
        <w:rPr>
          <w:sz w:val="22"/>
          <w:szCs w:val="22"/>
        </w:rPr>
        <w:t>ical and scientific techniques</w:t>
      </w:r>
      <w:r w:rsidR="00230AC6">
        <w:rPr>
          <w:sz w:val="22"/>
          <w:szCs w:val="22"/>
        </w:rPr>
        <w:t>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14:paraId="0D903C0A" w14:textId="77777777" w:rsidTr="001B7AB8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4E9DB" w14:textId="77777777" w:rsidR="001F1AF6" w:rsidRPr="000C5790" w:rsidRDefault="001F1AF6" w:rsidP="00881061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Task</w:t>
            </w:r>
            <w:r w:rsidR="003A227D" w:rsidRPr="000C5790">
              <w:rPr>
                <w:b/>
                <w:sz w:val="22"/>
                <w:szCs w:val="22"/>
              </w:rPr>
              <w:t xml:space="preserve"> number</w:t>
            </w:r>
            <w:r w:rsidRPr="000C5790">
              <w:rPr>
                <w:b/>
                <w:sz w:val="22"/>
                <w:szCs w:val="22"/>
              </w:rPr>
              <w:t>:</w:t>
            </w:r>
            <w:r w:rsidR="002256A5" w:rsidRPr="000C5790">
              <w:rPr>
                <w:sz w:val="22"/>
                <w:szCs w:val="22"/>
              </w:rPr>
              <w:t xml:space="preserve"> </w:t>
            </w:r>
            <w:r w:rsidR="00491449" w:rsidRPr="000C5790"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C6B12" w14:textId="29B3EBEF" w:rsidR="001F1AF6" w:rsidRPr="000C5790" w:rsidRDefault="001F1AF6" w:rsidP="00881061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Weighting:</w:t>
            </w:r>
            <w:r w:rsidR="002256A5" w:rsidRPr="000C5790">
              <w:rPr>
                <w:sz w:val="22"/>
                <w:szCs w:val="22"/>
              </w:rPr>
              <w:t xml:space="preserve"> </w:t>
            </w:r>
            <w:r w:rsidR="006C7FD1">
              <w:rPr>
                <w:sz w:val="22"/>
                <w:szCs w:val="22"/>
              </w:rPr>
              <w:t>3</w:t>
            </w:r>
            <w:r w:rsidR="000C5790" w:rsidRPr="000C5790">
              <w:rPr>
                <w:sz w:val="22"/>
                <w:szCs w:val="22"/>
              </w:rPr>
              <w:t>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47CB0" w14:textId="6988A59D" w:rsidR="001F1AF6" w:rsidRPr="000C5790" w:rsidRDefault="001F1AF6" w:rsidP="00881061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Timing:</w:t>
            </w:r>
            <w:r w:rsidR="002256A5" w:rsidRPr="000C5790">
              <w:rPr>
                <w:sz w:val="22"/>
                <w:szCs w:val="22"/>
              </w:rPr>
              <w:t xml:space="preserve"> </w:t>
            </w:r>
            <w:r w:rsidR="00E76267">
              <w:rPr>
                <w:sz w:val="22"/>
                <w:szCs w:val="22"/>
              </w:rPr>
              <w:t>Term 1, Week 8</w:t>
            </w:r>
          </w:p>
        </w:tc>
      </w:tr>
      <w:tr w:rsidR="001F1AF6" w:rsidRPr="00BC1DCD" w14:paraId="25E5D924" w14:textId="77777777" w:rsidTr="001B7AB8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C05C6" w14:textId="061547FC" w:rsidR="001F1AF6" w:rsidRPr="000C5790" w:rsidRDefault="001F1AF6" w:rsidP="008810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C5790">
              <w:rPr>
                <w:rFonts w:cs="Arial"/>
                <w:b/>
                <w:sz w:val="22"/>
                <w:szCs w:val="22"/>
              </w:rPr>
              <w:t>Outcomes assessed</w:t>
            </w:r>
            <w:r w:rsidR="002256A5" w:rsidRPr="000C5790">
              <w:rPr>
                <w:rFonts w:cs="Arial"/>
                <w:sz w:val="22"/>
                <w:szCs w:val="22"/>
              </w:rPr>
              <w:t xml:space="preserve"> </w:t>
            </w:r>
          </w:p>
          <w:p w14:paraId="72567B55" w14:textId="47CE9043" w:rsidR="001F1AF6" w:rsidRPr="0015010A" w:rsidRDefault="0086749A" w:rsidP="008810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5010A">
              <w:rPr>
                <w:rFonts w:cs="Arial"/>
                <w:sz w:val="22"/>
                <w:szCs w:val="22"/>
              </w:rPr>
              <w:t>A student:</w:t>
            </w:r>
          </w:p>
          <w:p w14:paraId="1735E72E" w14:textId="77777777" w:rsidR="00DF2B05" w:rsidRPr="00397BA9" w:rsidRDefault="00DF2B05" w:rsidP="00881061">
            <w:pPr>
              <w:spacing w:before="60" w:after="60"/>
              <w:contextualSpacing/>
              <w:rPr>
                <w:sz w:val="22"/>
              </w:rPr>
            </w:pPr>
            <w:r w:rsidRPr="00853D4B">
              <w:rPr>
                <w:b/>
                <w:sz w:val="22"/>
              </w:rPr>
              <w:t>AH11-6</w:t>
            </w:r>
            <w:r>
              <w:rPr>
                <w:sz w:val="22"/>
              </w:rPr>
              <w:t xml:space="preserve"> </w:t>
            </w:r>
            <w:r w:rsidRPr="00397BA9">
              <w:rPr>
                <w:sz w:val="22"/>
              </w:rPr>
              <w:t>analyses and interprets different types of sources for evidence to support an</w:t>
            </w:r>
            <w:r>
              <w:rPr>
                <w:sz w:val="22"/>
              </w:rPr>
              <w:t xml:space="preserve"> historical account or argument</w:t>
            </w:r>
          </w:p>
          <w:p w14:paraId="09F28656" w14:textId="77777777" w:rsidR="00DF2B05" w:rsidRPr="00397BA9" w:rsidRDefault="00DF2B05" w:rsidP="00881061">
            <w:pPr>
              <w:spacing w:before="60" w:after="60"/>
              <w:contextualSpacing/>
              <w:rPr>
                <w:sz w:val="22"/>
              </w:rPr>
            </w:pPr>
            <w:r w:rsidRPr="00853D4B">
              <w:rPr>
                <w:b/>
                <w:sz w:val="22"/>
              </w:rPr>
              <w:t>AH11-7</w:t>
            </w:r>
            <w:r>
              <w:rPr>
                <w:sz w:val="22"/>
              </w:rPr>
              <w:t xml:space="preserve"> </w:t>
            </w:r>
            <w:r w:rsidRPr="00397BA9">
              <w:rPr>
                <w:sz w:val="22"/>
              </w:rPr>
              <w:t>discusses and evaluates differing interpretations and re</w:t>
            </w:r>
            <w:r>
              <w:rPr>
                <w:sz w:val="22"/>
              </w:rPr>
              <w:t>presentations of the past</w:t>
            </w:r>
          </w:p>
          <w:p w14:paraId="381854AE" w14:textId="77777777" w:rsidR="00DF2B05" w:rsidRPr="00397BA9" w:rsidRDefault="00DF2B05" w:rsidP="00881061">
            <w:pPr>
              <w:spacing w:before="60" w:after="60"/>
              <w:contextualSpacing/>
              <w:rPr>
                <w:sz w:val="22"/>
              </w:rPr>
            </w:pPr>
            <w:r w:rsidRPr="00853D4B">
              <w:rPr>
                <w:b/>
                <w:sz w:val="22"/>
              </w:rPr>
              <w:t>AH11-9</w:t>
            </w:r>
            <w:r>
              <w:rPr>
                <w:sz w:val="22"/>
              </w:rPr>
              <w:t xml:space="preserve"> </w:t>
            </w:r>
            <w:r w:rsidRPr="00397BA9">
              <w:rPr>
                <w:sz w:val="22"/>
              </w:rPr>
              <w:t xml:space="preserve">communicates historical understanding, using historical knowledge, concepts and terms, in appropriate </w:t>
            </w:r>
            <w:r>
              <w:rPr>
                <w:sz w:val="22"/>
              </w:rPr>
              <w:t>and well-structured forms</w:t>
            </w:r>
          </w:p>
          <w:p w14:paraId="7AC65633" w14:textId="669DA283" w:rsidR="001F1AF6" w:rsidRPr="000C5790" w:rsidRDefault="00DF2B05" w:rsidP="00881061">
            <w:pPr>
              <w:spacing w:before="60" w:after="60"/>
              <w:contextualSpacing/>
              <w:rPr>
                <w:sz w:val="22"/>
                <w:szCs w:val="22"/>
              </w:rPr>
            </w:pPr>
            <w:r w:rsidRPr="00853D4B">
              <w:rPr>
                <w:b/>
                <w:sz w:val="22"/>
              </w:rPr>
              <w:t>AH11-10</w:t>
            </w:r>
            <w:r>
              <w:rPr>
                <w:sz w:val="22"/>
              </w:rPr>
              <w:t xml:space="preserve"> </w:t>
            </w:r>
            <w:r w:rsidRPr="00397BA9">
              <w:rPr>
                <w:sz w:val="22"/>
              </w:rPr>
              <w:t xml:space="preserve">discusses contemporary methods and issues involved in the </w:t>
            </w:r>
            <w:r>
              <w:rPr>
                <w:sz w:val="22"/>
              </w:rPr>
              <w:t>investigation of ancient history</w:t>
            </w:r>
          </w:p>
        </w:tc>
      </w:tr>
      <w:tr w:rsidR="001F1AF6" w:rsidRPr="00BC1DCD" w14:paraId="7F020726" w14:textId="77777777" w:rsidTr="001B7AB8">
        <w:trPr>
          <w:cantSplit/>
          <w:trHeight w:val="3719"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F09AE" w14:textId="243F5F80" w:rsidR="0086749A" w:rsidRPr="005F5E1F" w:rsidRDefault="0015010A" w:rsidP="0088106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14:paraId="3A941168" w14:textId="61358BA4" w:rsidR="00287703" w:rsidRDefault="0029211A" w:rsidP="0088106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 are to investigate ONE archaeological site and its contribution to our understanding of the past. Your research is to be presented in an appropriate form, which you </w:t>
            </w:r>
            <w:r w:rsidR="00287703">
              <w:rPr>
                <w:rFonts w:cs="Arial"/>
                <w:sz w:val="22"/>
                <w:szCs w:val="22"/>
              </w:rPr>
              <w:t xml:space="preserve">may select following </w:t>
            </w:r>
            <w:r w:rsidR="00F31E43">
              <w:rPr>
                <w:rFonts w:cs="Arial"/>
                <w:sz w:val="22"/>
                <w:szCs w:val="22"/>
              </w:rPr>
              <w:t>discussion</w:t>
            </w:r>
            <w:r w:rsidR="00287703">
              <w:rPr>
                <w:rFonts w:cs="Arial"/>
                <w:sz w:val="22"/>
                <w:szCs w:val="22"/>
              </w:rPr>
              <w:t xml:space="preserve"> with your </w:t>
            </w:r>
            <w:r w:rsidR="00D75EE1">
              <w:rPr>
                <w:rFonts w:cs="Arial"/>
                <w:sz w:val="22"/>
                <w:szCs w:val="22"/>
              </w:rPr>
              <w:t xml:space="preserve">class </w:t>
            </w:r>
            <w:r w:rsidR="00287703">
              <w:rPr>
                <w:rFonts w:cs="Arial"/>
                <w:sz w:val="22"/>
                <w:szCs w:val="22"/>
              </w:rPr>
              <w:t>teacher.</w:t>
            </w:r>
          </w:p>
          <w:p w14:paraId="67CFEEBB" w14:textId="7296B858" w:rsidR="00455061" w:rsidRDefault="00287703" w:rsidP="0088106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Your submitted work </w:t>
            </w:r>
            <w:r w:rsidR="0029211A">
              <w:rPr>
                <w:rFonts w:cs="Arial"/>
                <w:sz w:val="22"/>
                <w:szCs w:val="22"/>
              </w:rPr>
              <w:t>should provide information on</w:t>
            </w:r>
            <w:r w:rsidR="006D06FC">
              <w:rPr>
                <w:rFonts w:cs="Arial"/>
                <w:sz w:val="22"/>
                <w:szCs w:val="22"/>
              </w:rPr>
              <w:t xml:space="preserve"> the:</w:t>
            </w:r>
            <w:r w:rsidR="0029211A">
              <w:rPr>
                <w:rFonts w:cs="Arial"/>
                <w:sz w:val="22"/>
                <w:szCs w:val="22"/>
              </w:rPr>
              <w:t xml:space="preserve"> </w:t>
            </w:r>
            <w:r w:rsidR="0029211A" w:rsidDel="0029211A">
              <w:rPr>
                <w:rFonts w:cs="Arial"/>
                <w:sz w:val="22"/>
                <w:szCs w:val="22"/>
              </w:rPr>
              <w:t xml:space="preserve"> </w:t>
            </w:r>
          </w:p>
          <w:p w14:paraId="111097C2" w14:textId="77777777" w:rsidR="00F31E43" w:rsidRPr="00FA5BDC" w:rsidRDefault="00F31E43" w:rsidP="0088106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possible </w:t>
            </w:r>
            <w:r w:rsidRPr="00FA5BDC">
              <w:rPr>
                <w:rFonts w:cs="Arial"/>
                <w:sz w:val="22"/>
                <w:szCs w:val="22"/>
              </w:rPr>
              <w:t>reasons for the location of the site</w:t>
            </w:r>
          </w:p>
          <w:p w14:paraId="7679B372" w14:textId="63283E03" w:rsidR="00455061" w:rsidRDefault="006D06FC" w:rsidP="0088106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160165">
              <w:rPr>
                <w:rFonts w:cs="Arial"/>
                <w:sz w:val="22"/>
                <w:szCs w:val="22"/>
              </w:rPr>
              <w:t>iscovery</w:t>
            </w:r>
            <w:r w:rsidR="00455061">
              <w:rPr>
                <w:rFonts w:cs="Arial"/>
                <w:sz w:val="22"/>
                <w:szCs w:val="22"/>
              </w:rPr>
              <w:t xml:space="preserve">, excavation, and </w:t>
            </w:r>
            <w:r w:rsidR="00F31E43">
              <w:rPr>
                <w:rFonts w:cs="Arial"/>
                <w:sz w:val="22"/>
                <w:szCs w:val="22"/>
              </w:rPr>
              <w:t>analysis</w:t>
            </w:r>
            <w:r>
              <w:rPr>
                <w:rFonts w:cs="Arial"/>
                <w:sz w:val="22"/>
                <w:szCs w:val="22"/>
              </w:rPr>
              <w:t>, including</w:t>
            </w:r>
            <w:r w:rsidR="00D75EE1">
              <w:rPr>
                <w:rFonts w:cs="Arial"/>
                <w:sz w:val="22"/>
                <w:szCs w:val="22"/>
              </w:rPr>
              <w:t>:</w:t>
            </w:r>
          </w:p>
          <w:p w14:paraId="42772D3E" w14:textId="3D7D45AC" w:rsidR="00FD06F3" w:rsidRPr="00FA5BDC" w:rsidRDefault="00160165" w:rsidP="0088106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FA5BDC">
              <w:rPr>
                <w:rFonts w:cs="Arial"/>
                <w:sz w:val="22"/>
                <w:szCs w:val="22"/>
              </w:rPr>
              <w:t>how the site was ‘</w:t>
            </w:r>
            <w:r w:rsidR="00287703">
              <w:rPr>
                <w:rFonts w:cs="Arial"/>
                <w:sz w:val="22"/>
                <w:szCs w:val="22"/>
              </w:rPr>
              <w:t>discovered</w:t>
            </w:r>
            <w:r w:rsidRPr="00FA5BDC">
              <w:rPr>
                <w:rFonts w:cs="Arial"/>
                <w:sz w:val="22"/>
                <w:szCs w:val="22"/>
              </w:rPr>
              <w:t>’</w:t>
            </w:r>
          </w:p>
          <w:p w14:paraId="0599A255" w14:textId="78809CDB" w:rsidR="00287703" w:rsidRDefault="00287703" w:rsidP="0088106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D06FC">
              <w:rPr>
                <w:rFonts w:cs="Arial"/>
                <w:sz w:val="22"/>
                <w:szCs w:val="22"/>
              </w:rPr>
              <w:t xml:space="preserve">excavation methods </w:t>
            </w:r>
            <w:r w:rsidRPr="00287703">
              <w:rPr>
                <w:rFonts w:cs="Arial"/>
                <w:sz w:val="22"/>
                <w:szCs w:val="22"/>
              </w:rPr>
              <w:t>used at the site</w:t>
            </w:r>
          </w:p>
          <w:p w14:paraId="2B13368C" w14:textId="4074C040" w:rsidR="00FD06F3" w:rsidRDefault="00287703" w:rsidP="0088106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m</w:t>
            </w:r>
            <w:r w:rsidR="00CA6794" w:rsidRPr="006D06FC">
              <w:rPr>
                <w:rFonts w:cs="Arial"/>
                <w:sz w:val="22"/>
                <w:szCs w:val="22"/>
              </w:rPr>
              <w:t>ethod/s</w:t>
            </w:r>
            <w:proofErr w:type="gramEnd"/>
            <w:r w:rsidR="00CA6794" w:rsidRPr="006D06FC">
              <w:rPr>
                <w:rFonts w:cs="Arial"/>
                <w:sz w:val="22"/>
                <w:szCs w:val="22"/>
              </w:rPr>
              <w:t xml:space="preserve"> employed to date the site and/or related artefacts</w:t>
            </w:r>
            <w:r w:rsidR="00D75EE1">
              <w:rPr>
                <w:rFonts w:cs="Arial"/>
                <w:sz w:val="22"/>
                <w:szCs w:val="22"/>
              </w:rPr>
              <w:t>.</w:t>
            </w:r>
          </w:p>
          <w:p w14:paraId="3204438B" w14:textId="31FE8F47" w:rsidR="003D2789" w:rsidRDefault="006D06FC" w:rsidP="0088106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287703" w:rsidRPr="00230AC6">
              <w:rPr>
                <w:rFonts w:cs="Arial"/>
                <w:sz w:val="22"/>
                <w:szCs w:val="22"/>
              </w:rPr>
              <w:t>nterpretations</w:t>
            </w:r>
            <w:r>
              <w:rPr>
                <w:rFonts w:cs="Arial"/>
                <w:sz w:val="22"/>
                <w:szCs w:val="22"/>
              </w:rPr>
              <w:t xml:space="preserve"> and/or representations of the site, including</w:t>
            </w:r>
            <w:r w:rsidR="00D75EE1">
              <w:rPr>
                <w:rFonts w:cs="Arial"/>
                <w:sz w:val="22"/>
                <w:szCs w:val="22"/>
              </w:rPr>
              <w:t>:</w:t>
            </w:r>
            <w:r w:rsidR="00287703">
              <w:rPr>
                <w:rFonts w:cs="Arial"/>
                <w:sz w:val="22"/>
                <w:szCs w:val="22"/>
              </w:rPr>
              <w:t xml:space="preserve"> </w:t>
            </w:r>
          </w:p>
          <w:p w14:paraId="04826B5E" w14:textId="760CC870" w:rsidR="00287703" w:rsidRPr="006D06FC" w:rsidRDefault="00287703" w:rsidP="00881061">
            <w:pPr>
              <w:pStyle w:val="ListParagraph"/>
              <w:spacing w:before="60" w:after="6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proofErr w:type="gramStart"/>
            <w:r w:rsidR="006D06FC">
              <w:rPr>
                <w:rFonts w:cs="Arial"/>
                <w:sz w:val="22"/>
                <w:szCs w:val="22"/>
              </w:rPr>
              <w:t>a</w:t>
            </w:r>
            <w:proofErr w:type="gramEnd"/>
            <w:r w:rsidR="006D06FC">
              <w:rPr>
                <w:rFonts w:cs="Arial"/>
                <w:sz w:val="22"/>
                <w:szCs w:val="22"/>
              </w:rPr>
              <w:t xml:space="preserve"> discussion and evaluation of </w:t>
            </w:r>
            <w:r>
              <w:rPr>
                <w:rFonts w:cs="Arial"/>
                <w:sz w:val="22"/>
                <w:szCs w:val="22"/>
              </w:rPr>
              <w:t>two differing interp</w:t>
            </w:r>
            <w:r w:rsidR="003D2789">
              <w:rPr>
                <w:rFonts w:cs="Arial"/>
                <w:sz w:val="22"/>
                <w:szCs w:val="22"/>
              </w:rPr>
              <w:t>retations</w:t>
            </w:r>
            <w:r w:rsidR="006D06FC">
              <w:rPr>
                <w:rFonts w:cs="Arial"/>
                <w:sz w:val="22"/>
                <w:szCs w:val="22"/>
              </w:rPr>
              <w:t xml:space="preserve"> and/or representations</w:t>
            </w:r>
            <w:r w:rsidR="003D2789">
              <w:rPr>
                <w:rFonts w:cs="Arial"/>
                <w:sz w:val="22"/>
                <w:szCs w:val="22"/>
              </w:rPr>
              <w:t xml:space="preserve"> of the site, based on archaeological and written sources</w:t>
            </w:r>
            <w:r w:rsidR="00D75EE1">
              <w:rPr>
                <w:rFonts w:cs="Arial"/>
                <w:sz w:val="22"/>
                <w:szCs w:val="22"/>
              </w:rPr>
              <w:t>.</w:t>
            </w:r>
          </w:p>
          <w:p w14:paraId="5A7B8E22" w14:textId="790E6854" w:rsidR="003D2789" w:rsidRDefault="006D06FC" w:rsidP="0088106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CA6794">
              <w:rPr>
                <w:rFonts w:cs="Arial"/>
                <w:sz w:val="22"/>
                <w:szCs w:val="22"/>
              </w:rPr>
              <w:t>ignificance</w:t>
            </w:r>
            <w:r>
              <w:rPr>
                <w:rFonts w:cs="Arial"/>
                <w:sz w:val="22"/>
                <w:szCs w:val="22"/>
              </w:rPr>
              <w:t xml:space="preserve"> of the site, including</w:t>
            </w:r>
            <w:r w:rsidR="00D75EE1">
              <w:rPr>
                <w:rFonts w:cs="Arial"/>
                <w:sz w:val="22"/>
                <w:szCs w:val="22"/>
              </w:rPr>
              <w:t>:</w:t>
            </w:r>
            <w:r w:rsidR="00CA6794">
              <w:rPr>
                <w:rFonts w:cs="Arial"/>
                <w:sz w:val="22"/>
                <w:szCs w:val="22"/>
              </w:rPr>
              <w:t xml:space="preserve"> </w:t>
            </w:r>
          </w:p>
          <w:p w14:paraId="190C1157" w14:textId="5D5CA7A5" w:rsidR="00DF2B05" w:rsidRPr="00DF2B05" w:rsidRDefault="00CA6794" w:rsidP="00881061">
            <w:pPr>
              <w:pStyle w:val="ListParagraph"/>
              <w:spacing w:before="60" w:after="6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proofErr w:type="gramStart"/>
            <w:r w:rsidR="00F31E43">
              <w:rPr>
                <w:rFonts w:cs="Arial"/>
                <w:sz w:val="22"/>
                <w:szCs w:val="22"/>
              </w:rPr>
              <w:t>its</w:t>
            </w:r>
            <w:proofErr w:type="gramEnd"/>
            <w:r w:rsidR="00F31E4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contribution to our understanding of the past</w:t>
            </w:r>
            <w:r w:rsidR="00D75EE1">
              <w:rPr>
                <w:rFonts w:cs="Arial"/>
                <w:sz w:val="22"/>
                <w:szCs w:val="22"/>
              </w:rPr>
              <w:t>.</w:t>
            </w:r>
          </w:p>
        </w:tc>
      </w:tr>
      <w:tr w:rsidR="001F1E82" w:rsidRPr="00BC1DCD" w14:paraId="43861BCB" w14:textId="77777777" w:rsidTr="001B7AB8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94720" w14:textId="5A4BB18D" w:rsidR="001F1E82" w:rsidRDefault="0015010A" w:rsidP="0088106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14:paraId="12DB070E" w14:textId="77AA6246" w:rsidR="003D2789" w:rsidRPr="00230AC6" w:rsidRDefault="003D2789" w:rsidP="00881061">
            <w:pPr>
              <w:spacing w:before="60" w:after="60"/>
              <w:rPr>
                <w:sz w:val="22"/>
                <w:szCs w:val="22"/>
              </w:rPr>
            </w:pPr>
            <w:r w:rsidRPr="00230AC6">
              <w:rPr>
                <w:sz w:val="22"/>
                <w:szCs w:val="22"/>
              </w:rPr>
              <w:t>You will be assessed on how well you:</w:t>
            </w:r>
          </w:p>
          <w:p w14:paraId="518BAB55" w14:textId="184878F0" w:rsidR="00DF2B05" w:rsidRPr="006D06FC" w:rsidRDefault="003D2789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select, analyse and interpret appropriate sources relating to the site</w:t>
            </w:r>
          </w:p>
          <w:p w14:paraId="2B66991A" w14:textId="23E122AD" w:rsidR="003D2789" w:rsidRDefault="003D2789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3D2789">
              <w:rPr>
                <w:rFonts w:cs="Arial"/>
                <w:sz w:val="22"/>
                <w:szCs w:val="22"/>
              </w:rPr>
              <w:t>e</w:t>
            </w:r>
            <w:r w:rsidR="00DF2B05" w:rsidRPr="003D2789">
              <w:rPr>
                <w:rFonts w:cs="Arial"/>
                <w:sz w:val="22"/>
                <w:szCs w:val="22"/>
              </w:rPr>
              <w:t>xpla</w:t>
            </w:r>
            <w:r w:rsidRPr="003D2789">
              <w:rPr>
                <w:rFonts w:cs="Arial"/>
                <w:sz w:val="22"/>
                <w:szCs w:val="22"/>
              </w:rPr>
              <w:t>in</w:t>
            </w:r>
            <w:r w:rsidR="00DF2B05" w:rsidRPr="003D2789">
              <w:rPr>
                <w:rFonts w:cs="Arial"/>
                <w:sz w:val="22"/>
                <w:szCs w:val="22"/>
              </w:rPr>
              <w:t xml:space="preserve"> </w:t>
            </w:r>
            <w:r w:rsidRPr="003D2789">
              <w:rPr>
                <w:rFonts w:cs="Arial"/>
                <w:sz w:val="22"/>
                <w:szCs w:val="22"/>
              </w:rPr>
              <w:t>the</w:t>
            </w:r>
            <w:r w:rsidR="00DF2B05" w:rsidRPr="003D2789">
              <w:rPr>
                <w:rFonts w:cs="Arial"/>
                <w:sz w:val="22"/>
                <w:szCs w:val="22"/>
              </w:rPr>
              <w:t xml:space="preserve"> </w:t>
            </w:r>
            <w:r w:rsidRPr="003D2789">
              <w:rPr>
                <w:rFonts w:cs="Arial"/>
                <w:sz w:val="22"/>
                <w:szCs w:val="22"/>
              </w:rPr>
              <w:t xml:space="preserve">location, </w:t>
            </w:r>
            <w:r w:rsidR="00DF2B05" w:rsidRPr="003D2789">
              <w:rPr>
                <w:rFonts w:cs="Arial"/>
                <w:sz w:val="22"/>
                <w:szCs w:val="22"/>
              </w:rPr>
              <w:t>discovery, excavation and dating of the site</w:t>
            </w:r>
            <w:r>
              <w:rPr>
                <w:rFonts w:cs="Arial"/>
                <w:sz w:val="22"/>
                <w:szCs w:val="22"/>
              </w:rPr>
              <w:t xml:space="preserve"> and related artefacts</w:t>
            </w:r>
          </w:p>
          <w:p w14:paraId="5A44C4E3" w14:textId="0785BC18" w:rsidR="008977FF" w:rsidRPr="006D06FC" w:rsidRDefault="006D06FC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</w:t>
            </w:r>
            <w:r w:rsidR="003D2789">
              <w:rPr>
                <w:rFonts w:cs="Arial"/>
                <w:sz w:val="22"/>
                <w:szCs w:val="22"/>
              </w:rPr>
              <w:t xml:space="preserve"> and e</w:t>
            </w:r>
            <w:r w:rsidR="003D2789" w:rsidRPr="006D06FC">
              <w:rPr>
                <w:rFonts w:cs="Arial"/>
                <w:sz w:val="22"/>
                <w:szCs w:val="22"/>
              </w:rPr>
              <w:t>valuat</w:t>
            </w:r>
            <w:r w:rsidR="003D2789">
              <w:rPr>
                <w:rFonts w:cs="Arial"/>
                <w:sz w:val="22"/>
                <w:szCs w:val="22"/>
              </w:rPr>
              <w:t xml:space="preserve">e </w:t>
            </w:r>
            <w:r w:rsidR="00287703" w:rsidRPr="006D06FC">
              <w:rPr>
                <w:rFonts w:cs="Arial"/>
                <w:sz w:val="22"/>
                <w:szCs w:val="22"/>
              </w:rPr>
              <w:t xml:space="preserve">two differing </w:t>
            </w:r>
            <w:r w:rsidR="00287703" w:rsidRPr="003D2789">
              <w:rPr>
                <w:rFonts w:cs="Arial"/>
                <w:sz w:val="22"/>
                <w:szCs w:val="22"/>
              </w:rPr>
              <w:t>interpretations</w:t>
            </w:r>
            <w:r>
              <w:rPr>
                <w:rFonts w:cs="Arial"/>
                <w:sz w:val="22"/>
                <w:szCs w:val="22"/>
              </w:rPr>
              <w:t xml:space="preserve"> and/or representations</w:t>
            </w:r>
            <w:r w:rsidR="00287703" w:rsidRPr="006D06FC">
              <w:rPr>
                <w:rFonts w:cs="Arial"/>
                <w:sz w:val="22"/>
                <w:szCs w:val="22"/>
              </w:rPr>
              <w:t xml:space="preserve"> of the site</w:t>
            </w:r>
          </w:p>
          <w:p w14:paraId="47403FAB" w14:textId="095CEEDD" w:rsidR="00B05C01" w:rsidRPr="00881061" w:rsidRDefault="003D2789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881061">
              <w:rPr>
                <w:rFonts w:cs="Arial"/>
                <w:sz w:val="22"/>
                <w:szCs w:val="22"/>
              </w:rPr>
              <w:t>a</w:t>
            </w:r>
            <w:r w:rsidR="00DF2B05" w:rsidRPr="00881061">
              <w:rPr>
                <w:rFonts w:cs="Arial"/>
                <w:sz w:val="22"/>
                <w:szCs w:val="22"/>
              </w:rPr>
              <w:t xml:space="preserve">ssess the </w:t>
            </w:r>
            <w:r w:rsidR="006D06FC" w:rsidRPr="00881061">
              <w:rPr>
                <w:rFonts w:cs="Arial"/>
                <w:sz w:val="22"/>
                <w:szCs w:val="22"/>
              </w:rPr>
              <w:t xml:space="preserve">contribution </w:t>
            </w:r>
            <w:r w:rsidR="00DF2B05" w:rsidRPr="00881061">
              <w:rPr>
                <w:rFonts w:cs="Arial"/>
                <w:sz w:val="22"/>
                <w:szCs w:val="22"/>
              </w:rPr>
              <w:t>of the site</w:t>
            </w:r>
            <w:r w:rsidRPr="00881061">
              <w:rPr>
                <w:rFonts w:cs="Arial"/>
                <w:sz w:val="22"/>
                <w:szCs w:val="22"/>
              </w:rPr>
              <w:t xml:space="preserve"> and related </w:t>
            </w:r>
            <w:r w:rsidR="00287703" w:rsidRPr="00881061">
              <w:rPr>
                <w:rFonts w:cs="Arial"/>
                <w:sz w:val="22"/>
                <w:szCs w:val="22"/>
              </w:rPr>
              <w:t>artefacts</w:t>
            </w:r>
            <w:r w:rsidR="00DF2B05" w:rsidRPr="00881061">
              <w:rPr>
                <w:rFonts w:cs="Arial"/>
                <w:sz w:val="22"/>
                <w:szCs w:val="22"/>
              </w:rPr>
              <w:t xml:space="preserve"> for our understanding of the past</w:t>
            </w:r>
          </w:p>
          <w:p w14:paraId="3B15846D" w14:textId="514BC8CE" w:rsidR="003A5283" w:rsidRPr="003A5283" w:rsidRDefault="00B05C01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use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historical knowledge, concepts and terms in appropriate and well-structured forms</w:t>
            </w:r>
            <w:r w:rsidR="00B778C4">
              <w:rPr>
                <w:rFonts w:cs="Arial"/>
                <w:sz w:val="22"/>
                <w:szCs w:val="22"/>
              </w:rPr>
              <w:t>.</w:t>
            </w:r>
          </w:p>
        </w:tc>
      </w:tr>
      <w:tr w:rsidR="001F1AF6" w:rsidRPr="00BC1DCD" w14:paraId="3B037D80" w14:textId="77777777" w:rsidTr="001B7AB8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51E8E" w14:textId="2189F045" w:rsidR="001F1AF6" w:rsidRPr="000C5790" w:rsidRDefault="0015010A" w:rsidP="0088106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provided</w:t>
            </w:r>
          </w:p>
          <w:p w14:paraId="1863781C" w14:textId="035F1ECF" w:rsidR="001F1AF6" w:rsidRPr="000C5790" w:rsidRDefault="000A6407" w:rsidP="0088106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025A5A">
              <w:rPr>
                <w:rFonts w:cs="Arial"/>
                <w:sz w:val="22"/>
                <w:szCs w:val="22"/>
              </w:rPr>
              <w:t>he t</w:t>
            </w:r>
            <w:r>
              <w:rPr>
                <w:rFonts w:cs="Arial"/>
                <w:sz w:val="22"/>
                <w:szCs w:val="22"/>
              </w:rPr>
              <w:t>eacher will provide written feedback outlining strengths and areas for improvement</w:t>
            </w:r>
            <w:r w:rsidR="005414B5">
              <w:rPr>
                <w:rFonts w:cs="Arial"/>
                <w:sz w:val="22"/>
                <w:szCs w:val="22"/>
              </w:rPr>
              <w:t xml:space="preserve"> to build on knowledge, understanding and skills for future learning</w:t>
            </w:r>
            <w:r w:rsidR="00B778C4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0FF25B3D" w14:textId="3A20B3BB" w:rsidR="00624A6B" w:rsidRDefault="00624A6B" w:rsidP="00881061">
      <w:pPr>
        <w:spacing w:before="60" w:after="60" w:line="240" w:lineRule="auto"/>
        <w:rPr>
          <w:rFonts w:cs="Arial"/>
          <w:szCs w:val="24"/>
        </w:rPr>
      </w:pPr>
    </w:p>
    <w:p w14:paraId="139BD398" w14:textId="77777777" w:rsidR="00624A6B" w:rsidRDefault="00624A6B" w:rsidP="00881061">
      <w:pPr>
        <w:spacing w:before="60" w:after="6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C7B1A43" w14:textId="732D8C8A" w:rsidR="00624A6B" w:rsidRPr="007F6104" w:rsidRDefault="007F33FE" w:rsidP="00881061">
      <w:pPr>
        <w:pStyle w:val="Heading1"/>
        <w:spacing w:before="60" w:after="60" w:line="240" w:lineRule="auto"/>
        <w:jc w:val="left"/>
        <w:rPr>
          <w:sz w:val="22"/>
          <w:szCs w:val="22"/>
        </w:rPr>
      </w:pPr>
      <w:r w:rsidRPr="007F6104">
        <w:rPr>
          <w:sz w:val="22"/>
          <w:szCs w:val="22"/>
        </w:rPr>
        <w:lastRenderedPageBreak/>
        <w:t xml:space="preserve">Marking </w:t>
      </w:r>
      <w:r w:rsidR="005132E0" w:rsidRPr="007F6104">
        <w:rPr>
          <w:sz w:val="22"/>
          <w:szCs w:val="22"/>
        </w:rPr>
        <w:t>g</w:t>
      </w:r>
      <w:r w:rsidR="00624A6B" w:rsidRPr="007F6104">
        <w:rPr>
          <w:sz w:val="22"/>
          <w:szCs w:val="22"/>
        </w:rPr>
        <w:t>uidelines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guidelines table"/>
        <w:tblDescription w:val="The marking guidelines table provides examples of the knowledge, understanding and skills a student has displayed and the allocated mark range."/>
      </w:tblPr>
      <w:tblGrid>
        <w:gridCol w:w="9180"/>
        <w:gridCol w:w="1418"/>
      </w:tblGrid>
      <w:tr w:rsidR="00624A6B" w:rsidRPr="0088556E" w14:paraId="3FD9E27A" w14:textId="77777777" w:rsidTr="00881061">
        <w:trPr>
          <w:trHeight w:val="340"/>
          <w:tblHeader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2AB5" w14:textId="25144421" w:rsidR="00624A6B" w:rsidRPr="00F31E43" w:rsidRDefault="00F31E43" w:rsidP="00881061">
            <w:pPr>
              <w:widowControl w:val="0"/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A student: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19A7" w14:textId="7B851056" w:rsidR="00624A6B" w:rsidRPr="0088556E" w:rsidRDefault="00624A6B" w:rsidP="00881061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000000"/>
                <w:kern w:val="30"/>
                <w:sz w:val="22"/>
                <w:szCs w:val="22"/>
              </w:rPr>
            </w:pPr>
            <w:r w:rsidRPr="0088556E">
              <w:rPr>
                <w:b/>
                <w:bCs/>
                <w:sz w:val="22"/>
                <w:szCs w:val="22"/>
              </w:rPr>
              <w:t>Mark</w:t>
            </w:r>
            <w:r w:rsidR="006D06FC">
              <w:rPr>
                <w:b/>
                <w:bCs/>
                <w:sz w:val="22"/>
                <w:szCs w:val="22"/>
              </w:rPr>
              <w:t xml:space="preserve"> range</w:t>
            </w:r>
          </w:p>
        </w:tc>
      </w:tr>
      <w:tr w:rsidR="00624A6B" w:rsidRPr="0088556E" w14:paraId="0588FAB7" w14:textId="77777777" w:rsidTr="004C5D89">
        <w:trPr>
          <w:trHeight w:val="1539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F180" w14:textId="41553BC2" w:rsidR="0097737A" w:rsidRDefault="004C5D89" w:rsidP="00881061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analyses and interprets</w:t>
            </w:r>
            <w:r w:rsidR="0097737A">
              <w:rPr>
                <w:sz w:val="22"/>
                <w:szCs w:val="22"/>
              </w:rPr>
              <w:t xml:space="preserve"> different types of sources for evidence</w:t>
            </w:r>
          </w:p>
          <w:p w14:paraId="2E5839B8" w14:textId="1D131101" w:rsidR="00624A6B" w:rsidRPr="0097737A" w:rsidRDefault="006D06FC" w:rsidP="00881061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p</w:t>
            </w:r>
            <w:r w:rsidR="004C5D89">
              <w:rPr>
                <w:color w:val="000000"/>
                <w:kern w:val="30"/>
                <w:sz w:val="22"/>
                <w:szCs w:val="22"/>
              </w:rPr>
              <w:t xml:space="preserve">rovides an </w:t>
            </w:r>
            <w:r w:rsidR="0097737A">
              <w:rPr>
                <w:color w:val="000000"/>
                <w:kern w:val="30"/>
                <w:sz w:val="22"/>
                <w:szCs w:val="22"/>
              </w:rPr>
              <w:t>evaluation of</w:t>
            </w:r>
            <w:r w:rsidR="00624A6B" w:rsidRPr="00977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</w:t>
            </w:r>
            <w:r w:rsidR="00624A6B" w:rsidRPr="0097737A">
              <w:rPr>
                <w:sz w:val="22"/>
                <w:szCs w:val="22"/>
              </w:rPr>
              <w:t xml:space="preserve">differing </w:t>
            </w:r>
            <w:r w:rsidR="0097737A" w:rsidRPr="0097737A">
              <w:rPr>
                <w:sz w:val="22"/>
                <w:szCs w:val="22"/>
              </w:rPr>
              <w:t>interpretations and</w:t>
            </w:r>
            <w:r>
              <w:rPr>
                <w:sz w:val="22"/>
                <w:szCs w:val="22"/>
              </w:rPr>
              <w:t>/or</w:t>
            </w:r>
            <w:r w:rsidR="0097737A" w:rsidRPr="0097737A">
              <w:rPr>
                <w:sz w:val="22"/>
                <w:szCs w:val="22"/>
              </w:rPr>
              <w:t xml:space="preserve"> representations</w:t>
            </w:r>
            <w:r w:rsidR="0097737A">
              <w:rPr>
                <w:sz w:val="22"/>
                <w:szCs w:val="22"/>
              </w:rPr>
              <w:t xml:space="preserve"> of the past</w:t>
            </w:r>
            <w:r w:rsidR="00A746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using historical knowledge, concepts and terms in appropriate and well-structured forms</w:t>
            </w:r>
          </w:p>
          <w:p w14:paraId="00B75C1C" w14:textId="0845A9BF" w:rsidR="00624A6B" w:rsidRPr="0088556E" w:rsidRDefault="006D06FC" w:rsidP="00881061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24A6B" w:rsidRPr="0088556E">
              <w:rPr>
                <w:sz w:val="22"/>
                <w:szCs w:val="22"/>
              </w:rPr>
              <w:t>emonstrate</w:t>
            </w:r>
            <w:r>
              <w:rPr>
                <w:sz w:val="22"/>
                <w:szCs w:val="22"/>
              </w:rPr>
              <w:t>s</w:t>
            </w:r>
            <w:r w:rsidR="00624A6B" w:rsidRPr="0088556E">
              <w:rPr>
                <w:sz w:val="22"/>
                <w:szCs w:val="22"/>
              </w:rPr>
              <w:t xml:space="preserve"> a highly developed understanding </w:t>
            </w:r>
            <w:r w:rsidR="00F95DFF">
              <w:rPr>
                <w:sz w:val="22"/>
                <w:szCs w:val="22"/>
              </w:rPr>
              <w:t>of contemporary methods and issues involved in the i</w:t>
            </w:r>
            <w:r w:rsidR="00426825">
              <w:rPr>
                <w:sz w:val="22"/>
                <w:szCs w:val="22"/>
              </w:rPr>
              <w:t>nvestigation of ancient history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5420" w14:textId="56C50F36" w:rsidR="00624A6B" w:rsidRPr="0088556E" w:rsidRDefault="006C7FD1" w:rsidP="00881061">
            <w:pPr>
              <w:widowControl w:val="0"/>
              <w:spacing w:before="60" w:after="60" w:line="240" w:lineRule="auto"/>
              <w:jc w:val="center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737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  <w:tr w:rsidR="00624A6B" w:rsidRPr="0088556E" w14:paraId="1A1BA45D" w14:textId="77777777" w:rsidTr="00881061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E81A" w14:textId="05AA2AC3" w:rsidR="00624A6B" w:rsidRPr="0088556E" w:rsidRDefault="00DE11CE" w:rsidP="00881061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discusses</w:t>
            </w:r>
            <w:r w:rsidR="004C5D89">
              <w:rPr>
                <w:sz w:val="22"/>
                <w:szCs w:val="22"/>
              </w:rPr>
              <w:t xml:space="preserve"> and interprets</w:t>
            </w:r>
            <w:r w:rsidR="0097737A">
              <w:rPr>
                <w:sz w:val="22"/>
                <w:szCs w:val="22"/>
              </w:rPr>
              <w:t xml:space="preserve"> different types of sources for evidence</w:t>
            </w:r>
          </w:p>
          <w:p w14:paraId="6B0316AE" w14:textId="619BF748" w:rsidR="00624A6B" w:rsidRPr="0088556E" w:rsidRDefault="006D06FC" w:rsidP="00881061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7737A">
              <w:rPr>
                <w:sz w:val="22"/>
                <w:szCs w:val="22"/>
              </w:rPr>
              <w:t xml:space="preserve">rovides </w:t>
            </w:r>
            <w:r w:rsidR="004C5D89">
              <w:rPr>
                <w:color w:val="000000"/>
                <w:kern w:val="30"/>
                <w:sz w:val="22"/>
                <w:szCs w:val="22"/>
              </w:rPr>
              <w:t>a discussion</w:t>
            </w:r>
            <w:r w:rsidR="0097737A">
              <w:rPr>
                <w:color w:val="000000"/>
                <w:kern w:val="30"/>
                <w:sz w:val="22"/>
                <w:szCs w:val="22"/>
              </w:rPr>
              <w:t xml:space="preserve"> of</w:t>
            </w:r>
            <w:r w:rsidR="0097737A" w:rsidRPr="00977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</w:t>
            </w:r>
            <w:r w:rsidR="0097737A" w:rsidRPr="0097737A">
              <w:rPr>
                <w:sz w:val="22"/>
                <w:szCs w:val="22"/>
              </w:rPr>
              <w:t xml:space="preserve">differing interpretations </w:t>
            </w:r>
            <w:r w:rsidR="0053485F" w:rsidRPr="0097737A">
              <w:rPr>
                <w:sz w:val="22"/>
                <w:szCs w:val="22"/>
              </w:rPr>
              <w:t>and</w:t>
            </w:r>
            <w:r w:rsidR="0053485F">
              <w:rPr>
                <w:sz w:val="22"/>
                <w:szCs w:val="22"/>
              </w:rPr>
              <w:t>/or</w:t>
            </w:r>
            <w:r w:rsidR="0097737A" w:rsidRPr="0097737A">
              <w:rPr>
                <w:sz w:val="22"/>
                <w:szCs w:val="22"/>
              </w:rPr>
              <w:t xml:space="preserve"> representations</w:t>
            </w:r>
            <w:r w:rsidR="0097737A">
              <w:rPr>
                <w:sz w:val="22"/>
                <w:szCs w:val="22"/>
              </w:rPr>
              <w:t xml:space="preserve"> of the past </w:t>
            </w:r>
            <w:r>
              <w:rPr>
                <w:sz w:val="22"/>
                <w:szCs w:val="22"/>
              </w:rPr>
              <w:t>using historical knowledge, concepts and terms in appropriate and well-structured forms</w:t>
            </w:r>
          </w:p>
          <w:p w14:paraId="7991BADC" w14:textId="738DAD12" w:rsidR="00624A6B" w:rsidRPr="0088556E" w:rsidRDefault="006D06FC" w:rsidP="00881061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24A6B" w:rsidRPr="0088556E">
              <w:rPr>
                <w:sz w:val="22"/>
                <w:szCs w:val="22"/>
              </w:rPr>
              <w:t>emo</w:t>
            </w:r>
            <w:r w:rsidR="00F95DFF">
              <w:rPr>
                <w:sz w:val="22"/>
                <w:szCs w:val="22"/>
              </w:rPr>
              <w:t xml:space="preserve">nstrates a well-developed </w:t>
            </w:r>
            <w:r w:rsidR="00F95DFF" w:rsidRPr="0088556E">
              <w:rPr>
                <w:sz w:val="22"/>
                <w:szCs w:val="22"/>
              </w:rPr>
              <w:t xml:space="preserve">understanding </w:t>
            </w:r>
            <w:r w:rsidR="00F95DFF">
              <w:rPr>
                <w:sz w:val="22"/>
                <w:szCs w:val="22"/>
              </w:rPr>
              <w:t>of contemporary methods and issues involved in the investigation of ancient history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74B1" w14:textId="568A98A5" w:rsidR="00624A6B" w:rsidRPr="0088556E" w:rsidRDefault="0097737A" w:rsidP="00881061">
            <w:pPr>
              <w:widowControl w:val="0"/>
              <w:spacing w:before="60" w:after="60" w:line="240" w:lineRule="auto"/>
              <w:jc w:val="center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F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–</w:t>
            </w:r>
            <w:r w:rsidR="006C7FD1">
              <w:rPr>
                <w:sz w:val="22"/>
                <w:szCs w:val="22"/>
              </w:rPr>
              <w:t>24</w:t>
            </w:r>
          </w:p>
        </w:tc>
      </w:tr>
      <w:tr w:rsidR="00624A6B" w:rsidRPr="0088556E" w14:paraId="2771D20D" w14:textId="77777777" w:rsidTr="00881061">
        <w:trPr>
          <w:trHeight w:val="1791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D75A" w14:textId="1AC53BF2" w:rsidR="0097737A" w:rsidRDefault="004C5D89" w:rsidP="00881061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some </w:t>
            </w:r>
            <w:r w:rsidR="0097737A">
              <w:rPr>
                <w:sz w:val="22"/>
                <w:szCs w:val="22"/>
              </w:rPr>
              <w:t>interpret</w:t>
            </w:r>
            <w:r w:rsidR="003A5283">
              <w:rPr>
                <w:sz w:val="22"/>
                <w:szCs w:val="22"/>
              </w:rPr>
              <w:t>ation of</w:t>
            </w:r>
            <w:r w:rsidR="0097737A">
              <w:rPr>
                <w:sz w:val="22"/>
                <w:szCs w:val="22"/>
              </w:rPr>
              <w:t xml:space="preserve"> different types of sources for evidence</w:t>
            </w:r>
          </w:p>
          <w:p w14:paraId="59E3B0F0" w14:textId="57F74773" w:rsidR="0097737A" w:rsidRDefault="006D06FC" w:rsidP="00881061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p</w:t>
            </w:r>
            <w:r w:rsidR="0097737A">
              <w:rPr>
                <w:color w:val="000000"/>
                <w:kern w:val="30"/>
                <w:sz w:val="22"/>
                <w:szCs w:val="22"/>
              </w:rPr>
              <w:t xml:space="preserve">rovides a </w:t>
            </w:r>
            <w:r w:rsidR="004C5D89">
              <w:rPr>
                <w:color w:val="000000"/>
                <w:kern w:val="30"/>
                <w:sz w:val="22"/>
                <w:szCs w:val="22"/>
              </w:rPr>
              <w:t>description</w:t>
            </w:r>
            <w:r w:rsidR="0097737A">
              <w:rPr>
                <w:color w:val="000000"/>
                <w:kern w:val="30"/>
                <w:sz w:val="22"/>
                <w:szCs w:val="22"/>
              </w:rPr>
              <w:t xml:space="preserve"> of</w:t>
            </w:r>
            <w:r w:rsidR="0097737A" w:rsidRPr="0097737A">
              <w:rPr>
                <w:sz w:val="22"/>
                <w:szCs w:val="22"/>
              </w:rPr>
              <w:t xml:space="preserve"> </w:t>
            </w:r>
            <w:r w:rsidR="00D75EE1">
              <w:rPr>
                <w:sz w:val="22"/>
                <w:szCs w:val="22"/>
              </w:rPr>
              <w:t xml:space="preserve">two </w:t>
            </w:r>
            <w:r w:rsidR="0097737A" w:rsidRPr="0097737A">
              <w:rPr>
                <w:sz w:val="22"/>
                <w:szCs w:val="22"/>
              </w:rPr>
              <w:t xml:space="preserve">differing interpretations </w:t>
            </w:r>
            <w:r w:rsidR="0053485F" w:rsidRPr="0097737A">
              <w:rPr>
                <w:sz w:val="22"/>
                <w:szCs w:val="22"/>
              </w:rPr>
              <w:t>and</w:t>
            </w:r>
            <w:r w:rsidR="0053485F">
              <w:rPr>
                <w:sz w:val="22"/>
                <w:szCs w:val="22"/>
              </w:rPr>
              <w:t>/or</w:t>
            </w:r>
            <w:r w:rsidR="0053485F" w:rsidRPr="0097737A">
              <w:rPr>
                <w:sz w:val="22"/>
                <w:szCs w:val="22"/>
              </w:rPr>
              <w:t xml:space="preserve"> </w:t>
            </w:r>
            <w:r w:rsidR="0097737A" w:rsidRPr="0097737A">
              <w:rPr>
                <w:sz w:val="22"/>
                <w:szCs w:val="22"/>
              </w:rPr>
              <w:t>representations</w:t>
            </w:r>
            <w:r w:rsidR="0097737A">
              <w:rPr>
                <w:sz w:val="22"/>
                <w:szCs w:val="22"/>
              </w:rPr>
              <w:t xml:space="preserve"> of the past</w:t>
            </w:r>
            <w:r w:rsidR="00A74645">
              <w:rPr>
                <w:sz w:val="22"/>
                <w:szCs w:val="22"/>
              </w:rPr>
              <w:t xml:space="preserve"> that makes s</w:t>
            </w:r>
            <w:r w:rsidR="008977FF" w:rsidRPr="00881061">
              <w:rPr>
                <w:sz w:val="22"/>
                <w:szCs w:val="22"/>
              </w:rPr>
              <w:t>ome use</w:t>
            </w:r>
            <w:r w:rsidR="008977FF" w:rsidRPr="008977FF">
              <w:rPr>
                <w:sz w:val="22"/>
                <w:szCs w:val="22"/>
              </w:rPr>
              <w:t xml:space="preserve"> of</w:t>
            </w:r>
            <w:r w:rsidR="00C34F24" w:rsidRPr="008977FF">
              <w:rPr>
                <w:sz w:val="22"/>
                <w:szCs w:val="22"/>
              </w:rPr>
              <w:t xml:space="preserve"> </w:t>
            </w:r>
            <w:r w:rsidR="00D75EE1" w:rsidRPr="008977FF">
              <w:rPr>
                <w:sz w:val="22"/>
                <w:szCs w:val="22"/>
              </w:rPr>
              <w:t>historical knowledge, concepts and terms in appropriate and well-structured forms</w:t>
            </w:r>
          </w:p>
          <w:p w14:paraId="1B9F6CC2" w14:textId="1D357D95" w:rsidR="00624A6B" w:rsidRPr="0088556E" w:rsidRDefault="006D06FC" w:rsidP="00881061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24A6B" w:rsidRPr="0088556E">
              <w:rPr>
                <w:sz w:val="22"/>
                <w:szCs w:val="22"/>
              </w:rPr>
              <w:t xml:space="preserve">emonstrates </w:t>
            </w:r>
            <w:r w:rsidR="005414B5">
              <w:rPr>
                <w:sz w:val="22"/>
                <w:szCs w:val="22"/>
              </w:rPr>
              <w:t>some</w:t>
            </w:r>
            <w:r w:rsidR="00624A6B" w:rsidRPr="0088556E">
              <w:rPr>
                <w:sz w:val="22"/>
                <w:szCs w:val="22"/>
              </w:rPr>
              <w:t xml:space="preserve"> </w:t>
            </w:r>
            <w:r w:rsidR="00F95DFF" w:rsidRPr="0088556E">
              <w:rPr>
                <w:sz w:val="22"/>
                <w:szCs w:val="22"/>
              </w:rPr>
              <w:t xml:space="preserve">understanding </w:t>
            </w:r>
            <w:r w:rsidR="00F95DFF">
              <w:rPr>
                <w:sz w:val="22"/>
                <w:szCs w:val="22"/>
              </w:rPr>
              <w:t>of contemporary methods and issues involved in the investigation of ancient history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1C2D" w14:textId="2CD98306" w:rsidR="00624A6B" w:rsidRPr="0088556E" w:rsidRDefault="006C7FD1" w:rsidP="00881061">
            <w:pPr>
              <w:widowControl w:val="0"/>
              <w:spacing w:before="60" w:after="60" w:line="240" w:lineRule="auto"/>
              <w:jc w:val="center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7737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18</w:t>
            </w:r>
          </w:p>
        </w:tc>
      </w:tr>
      <w:tr w:rsidR="00624A6B" w:rsidRPr="0088556E" w14:paraId="14450D83" w14:textId="77777777" w:rsidTr="00881061">
        <w:trPr>
          <w:trHeight w:val="1538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FF2F" w14:textId="68008D1C" w:rsidR="00624A6B" w:rsidRPr="0088556E" w:rsidRDefault="004C5D89" w:rsidP="00881061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uses information from d</w:t>
            </w:r>
            <w:r w:rsidR="0097737A">
              <w:rPr>
                <w:sz w:val="22"/>
                <w:szCs w:val="22"/>
              </w:rPr>
              <w:t>ifferent types of sources</w:t>
            </w:r>
          </w:p>
          <w:p w14:paraId="0A5E004B" w14:textId="3DDC574C" w:rsidR="0097737A" w:rsidRDefault="00D75EE1" w:rsidP="00881061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p</w:t>
            </w:r>
            <w:r w:rsidR="004C5D89">
              <w:rPr>
                <w:color w:val="000000"/>
                <w:kern w:val="30"/>
                <w:sz w:val="22"/>
                <w:szCs w:val="22"/>
              </w:rPr>
              <w:t>rovides a limited description</w:t>
            </w:r>
            <w:r w:rsidR="0097737A">
              <w:rPr>
                <w:color w:val="000000"/>
                <w:kern w:val="30"/>
                <w:sz w:val="22"/>
                <w:szCs w:val="22"/>
              </w:rPr>
              <w:t xml:space="preserve"> of</w:t>
            </w:r>
            <w:r w:rsidR="000153EC">
              <w:rPr>
                <w:color w:val="000000"/>
                <w:kern w:val="30"/>
                <w:sz w:val="22"/>
                <w:szCs w:val="22"/>
              </w:rPr>
              <w:t xml:space="preserve"> </w:t>
            </w:r>
            <w:r w:rsidR="00C65F8F">
              <w:rPr>
                <w:color w:val="000000"/>
                <w:kern w:val="30"/>
                <w:sz w:val="22"/>
                <w:szCs w:val="22"/>
              </w:rPr>
              <w:t xml:space="preserve">one or </w:t>
            </w:r>
            <w:r w:rsidR="000153EC">
              <w:rPr>
                <w:color w:val="000000"/>
                <w:kern w:val="30"/>
                <w:sz w:val="22"/>
                <w:szCs w:val="22"/>
              </w:rPr>
              <w:t>two</w:t>
            </w:r>
            <w:r w:rsidR="0097737A" w:rsidRPr="0097737A">
              <w:rPr>
                <w:sz w:val="22"/>
                <w:szCs w:val="22"/>
              </w:rPr>
              <w:t xml:space="preserve"> interpretations </w:t>
            </w:r>
            <w:r w:rsidR="0053485F" w:rsidRPr="0097737A">
              <w:rPr>
                <w:sz w:val="22"/>
                <w:szCs w:val="22"/>
              </w:rPr>
              <w:t>and</w:t>
            </w:r>
            <w:r w:rsidR="0053485F">
              <w:rPr>
                <w:sz w:val="22"/>
                <w:szCs w:val="22"/>
              </w:rPr>
              <w:t>/or</w:t>
            </w:r>
            <w:r w:rsidR="0097737A" w:rsidRPr="0097737A">
              <w:rPr>
                <w:sz w:val="22"/>
                <w:szCs w:val="22"/>
              </w:rPr>
              <w:t xml:space="preserve"> representations</w:t>
            </w:r>
            <w:r w:rsidR="0097737A">
              <w:rPr>
                <w:sz w:val="22"/>
                <w:szCs w:val="22"/>
              </w:rPr>
              <w:t xml:space="preserve"> of the past</w:t>
            </w:r>
            <w:r w:rsidR="00A74645">
              <w:rPr>
                <w:sz w:val="22"/>
                <w:szCs w:val="22"/>
              </w:rPr>
              <w:t xml:space="preserve"> that makes l</w:t>
            </w:r>
            <w:r w:rsidR="008977FF">
              <w:rPr>
                <w:sz w:val="22"/>
                <w:szCs w:val="22"/>
              </w:rPr>
              <w:t xml:space="preserve">imited use of </w:t>
            </w:r>
            <w:r w:rsidR="00C34F24">
              <w:rPr>
                <w:sz w:val="22"/>
                <w:szCs w:val="22"/>
              </w:rPr>
              <w:t xml:space="preserve">historical knowledge, concepts and terms, </w:t>
            </w:r>
            <w:r w:rsidR="008977FF">
              <w:rPr>
                <w:sz w:val="22"/>
                <w:szCs w:val="22"/>
              </w:rPr>
              <w:t>in a form which is not appropriate or well</w:t>
            </w:r>
            <w:r w:rsidR="00C34F24">
              <w:rPr>
                <w:sz w:val="22"/>
                <w:szCs w:val="22"/>
              </w:rPr>
              <w:t>-structured</w:t>
            </w:r>
          </w:p>
          <w:p w14:paraId="02606D27" w14:textId="281F8224" w:rsidR="00624A6B" w:rsidRPr="0088556E" w:rsidRDefault="000153EC" w:rsidP="00881061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24A6B" w:rsidRPr="0088556E">
              <w:rPr>
                <w:sz w:val="22"/>
                <w:szCs w:val="22"/>
              </w:rPr>
              <w:t xml:space="preserve">emonstrates a basic </w:t>
            </w:r>
            <w:r w:rsidR="00F95DFF" w:rsidRPr="0088556E">
              <w:rPr>
                <w:sz w:val="22"/>
                <w:szCs w:val="22"/>
              </w:rPr>
              <w:t xml:space="preserve">understanding </w:t>
            </w:r>
            <w:r w:rsidR="00F95DFF">
              <w:rPr>
                <w:sz w:val="22"/>
                <w:szCs w:val="22"/>
              </w:rPr>
              <w:t>of contemporary methods and issues involved in the investigation of ancient history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2F22" w14:textId="49367CEC" w:rsidR="00624A6B" w:rsidRPr="0088556E" w:rsidRDefault="006C7FD1" w:rsidP="00881061">
            <w:pPr>
              <w:widowControl w:val="0"/>
              <w:spacing w:before="60" w:after="60" w:line="240" w:lineRule="auto"/>
              <w:jc w:val="center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737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</w:t>
            </w:r>
          </w:p>
        </w:tc>
      </w:tr>
      <w:tr w:rsidR="00624A6B" w:rsidRPr="0088556E" w14:paraId="29DEE774" w14:textId="77777777" w:rsidTr="00881061">
        <w:trPr>
          <w:trHeight w:val="1042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231F" w14:textId="4ADD69FB" w:rsidR="00624A6B" w:rsidRPr="0088556E" w:rsidRDefault="00025A5A" w:rsidP="00881061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</w:t>
            </w:r>
            <w:r w:rsidR="005414B5">
              <w:rPr>
                <w:sz w:val="22"/>
                <w:szCs w:val="22"/>
              </w:rPr>
              <w:t xml:space="preserve"> l</w:t>
            </w:r>
            <w:r w:rsidR="00426825">
              <w:rPr>
                <w:sz w:val="22"/>
                <w:szCs w:val="22"/>
              </w:rPr>
              <w:t xml:space="preserve">imited evidence of </w:t>
            </w:r>
            <w:r w:rsidR="00624A6B" w:rsidRPr="0088556E">
              <w:rPr>
                <w:sz w:val="22"/>
                <w:szCs w:val="22"/>
              </w:rPr>
              <w:t xml:space="preserve">research </w:t>
            </w:r>
          </w:p>
          <w:p w14:paraId="77E385FA" w14:textId="4761F8BE" w:rsidR="00C34F24" w:rsidRDefault="00C34F24" w:rsidP="00881061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</w:t>
            </w:r>
            <w:r w:rsidR="0097737A">
              <w:rPr>
                <w:sz w:val="22"/>
                <w:szCs w:val="22"/>
              </w:rPr>
              <w:t>brief descriptions</w:t>
            </w:r>
            <w:r>
              <w:rPr>
                <w:sz w:val="22"/>
                <w:szCs w:val="22"/>
              </w:rPr>
              <w:t xml:space="preserve">, with </w:t>
            </w:r>
            <w:r w:rsidR="005414B5">
              <w:rPr>
                <w:sz w:val="22"/>
                <w:szCs w:val="22"/>
              </w:rPr>
              <w:t>inconsistent</w:t>
            </w:r>
            <w:r w:rsidR="00624A6B" w:rsidRPr="0088556E">
              <w:rPr>
                <w:sz w:val="22"/>
                <w:szCs w:val="22"/>
              </w:rPr>
              <w:t xml:space="preserve"> </w:t>
            </w:r>
            <w:r w:rsidR="0097737A">
              <w:rPr>
                <w:sz w:val="22"/>
                <w:szCs w:val="22"/>
              </w:rPr>
              <w:t xml:space="preserve">interpretation </w:t>
            </w:r>
            <w:r w:rsidR="0053485F" w:rsidRPr="0097737A">
              <w:rPr>
                <w:sz w:val="22"/>
                <w:szCs w:val="22"/>
              </w:rPr>
              <w:t>and</w:t>
            </w:r>
            <w:r w:rsidR="0053485F">
              <w:rPr>
                <w:sz w:val="22"/>
                <w:szCs w:val="22"/>
              </w:rPr>
              <w:t>/or</w:t>
            </w:r>
            <w:r w:rsidR="0097737A">
              <w:rPr>
                <w:sz w:val="22"/>
                <w:szCs w:val="22"/>
              </w:rPr>
              <w:t xml:space="preserve"> representation of </w:t>
            </w:r>
            <w:r w:rsidR="00624A6B" w:rsidRPr="0088556E">
              <w:rPr>
                <w:sz w:val="22"/>
                <w:szCs w:val="22"/>
              </w:rPr>
              <w:t xml:space="preserve">the </w:t>
            </w:r>
            <w:r w:rsidR="00624A6B" w:rsidRPr="008977FF">
              <w:rPr>
                <w:sz w:val="22"/>
                <w:szCs w:val="22"/>
              </w:rPr>
              <w:t>past</w:t>
            </w:r>
            <w:r w:rsidR="00A74645">
              <w:rPr>
                <w:sz w:val="22"/>
                <w:szCs w:val="22"/>
              </w:rPr>
              <w:t xml:space="preserve"> that m</w:t>
            </w:r>
            <w:r w:rsidR="008977FF" w:rsidRPr="00881061">
              <w:rPr>
                <w:sz w:val="22"/>
                <w:szCs w:val="22"/>
              </w:rPr>
              <w:t>ay</w:t>
            </w:r>
            <w:r w:rsidR="008977FF">
              <w:rPr>
                <w:sz w:val="22"/>
                <w:szCs w:val="22"/>
              </w:rPr>
              <w:t xml:space="preserve"> make</w:t>
            </w:r>
            <w:r w:rsidRPr="008977FF">
              <w:rPr>
                <w:sz w:val="22"/>
                <w:szCs w:val="22"/>
              </w:rPr>
              <w:t xml:space="preserve"> use</w:t>
            </w:r>
            <w:r w:rsidR="008977FF">
              <w:rPr>
                <w:sz w:val="22"/>
                <w:szCs w:val="22"/>
              </w:rPr>
              <w:t xml:space="preserve"> of</w:t>
            </w:r>
            <w:r w:rsidRPr="008977FF">
              <w:rPr>
                <w:sz w:val="22"/>
                <w:szCs w:val="22"/>
              </w:rPr>
              <w:t xml:space="preserve"> historical</w:t>
            </w:r>
            <w:r>
              <w:rPr>
                <w:sz w:val="22"/>
                <w:szCs w:val="22"/>
              </w:rPr>
              <w:t xml:space="preserve"> knowledge, concepts and terms </w:t>
            </w:r>
          </w:p>
          <w:p w14:paraId="1CA5D2E9" w14:textId="5BD05DB8" w:rsidR="00624A6B" w:rsidRPr="0088556E" w:rsidRDefault="00C34F24" w:rsidP="00881061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24A6B" w:rsidRPr="0088556E">
              <w:rPr>
                <w:sz w:val="22"/>
                <w:szCs w:val="22"/>
              </w:rPr>
              <w:t xml:space="preserve">emonstrates a </w:t>
            </w:r>
            <w:r w:rsidR="00F95DFF">
              <w:rPr>
                <w:sz w:val="22"/>
                <w:szCs w:val="22"/>
              </w:rPr>
              <w:t>limited</w:t>
            </w:r>
            <w:r w:rsidR="00624A6B" w:rsidRPr="0088556E">
              <w:rPr>
                <w:sz w:val="22"/>
                <w:szCs w:val="22"/>
              </w:rPr>
              <w:t xml:space="preserve"> </w:t>
            </w:r>
            <w:r w:rsidR="00F95DFF" w:rsidRPr="0088556E">
              <w:rPr>
                <w:sz w:val="22"/>
                <w:szCs w:val="22"/>
              </w:rPr>
              <w:t xml:space="preserve">understanding </w:t>
            </w:r>
            <w:r w:rsidR="00F95DFF">
              <w:rPr>
                <w:sz w:val="22"/>
                <w:szCs w:val="22"/>
              </w:rPr>
              <w:t>of contemporary methods and issues involved in the investigation of ancient history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0844" w14:textId="6BEFD93C" w:rsidR="00624A6B" w:rsidRPr="0088556E" w:rsidRDefault="0097737A" w:rsidP="00881061">
            <w:pPr>
              <w:widowControl w:val="0"/>
              <w:spacing w:before="60" w:after="60" w:line="240" w:lineRule="auto"/>
              <w:jc w:val="center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="006C7FD1">
              <w:rPr>
                <w:sz w:val="22"/>
                <w:szCs w:val="22"/>
              </w:rPr>
              <w:t>6</w:t>
            </w:r>
          </w:p>
        </w:tc>
      </w:tr>
    </w:tbl>
    <w:p w14:paraId="59AB4A0A" w14:textId="77777777" w:rsidR="00624A6B" w:rsidRPr="00624A6B" w:rsidRDefault="00624A6B" w:rsidP="00881061">
      <w:pPr>
        <w:spacing w:before="60" w:after="60" w:line="240" w:lineRule="auto"/>
        <w:rPr>
          <w:rFonts w:cs="Arial"/>
          <w:b/>
          <w:sz w:val="22"/>
          <w:szCs w:val="22"/>
        </w:rPr>
      </w:pPr>
    </w:p>
    <w:sectPr w:rsidR="00624A6B" w:rsidRPr="00624A6B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D7"/>
    <w:multiLevelType w:val="hybridMultilevel"/>
    <w:tmpl w:val="8872EAB6"/>
    <w:lvl w:ilvl="0" w:tplc="E904E2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0EF"/>
    <w:multiLevelType w:val="multilevel"/>
    <w:tmpl w:val="14F08742"/>
    <w:lvl w:ilvl="0">
      <w:start w:val="1"/>
      <w:numFmt w:val="bullet"/>
      <w:lvlText w:val="&gt;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6C5B3D"/>
    <w:multiLevelType w:val="hybridMultilevel"/>
    <w:tmpl w:val="0CBE3FDC"/>
    <w:lvl w:ilvl="0" w:tplc="18B8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C29"/>
    <w:multiLevelType w:val="hybridMultilevel"/>
    <w:tmpl w:val="12D49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5DE7"/>
    <w:multiLevelType w:val="hybridMultilevel"/>
    <w:tmpl w:val="4F8E7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471CB"/>
    <w:multiLevelType w:val="hybridMultilevel"/>
    <w:tmpl w:val="9E3015B2"/>
    <w:lvl w:ilvl="0" w:tplc="18B8A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5753"/>
    <w:multiLevelType w:val="hybridMultilevel"/>
    <w:tmpl w:val="05A2894C"/>
    <w:lvl w:ilvl="0" w:tplc="53A0A17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A5167"/>
    <w:multiLevelType w:val="hybridMultilevel"/>
    <w:tmpl w:val="45041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47723"/>
    <w:multiLevelType w:val="hybridMultilevel"/>
    <w:tmpl w:val="B54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64280"/>
    <w:multiLevelType w:val="hybridMultilevel"/>
    <w:tmpl w:val="CE8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12B65"/>
    <w:multiLevelType w:val="hybridMultilevel"/>
    <w:tmpl w:val="F6327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01C0F"/>
    <w:multiLevelType w:val="hybridMultilevel"/>
    <w:tmpl w:val="422E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335"/>
    <w:multiLevelType w:val="hybridMultilevel"/>
    <w:tmpl w:val="AD9A9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A7599"/>
    <w:multiLevelType w:val="hybridMultilevel"/>
    <w:tmpl w:val="5E8C8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24567E"/>
    <w:multiLevelType w:val="hybridMultilevel"/>
    <w:tmpl w:val="839A535A"/>
    <w:lvl w:ilvl="0" w:tplc="18B8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06346"/>
    <w:multiLevelType w:val="hybridMultilevel"/>
    <w:tmpl w:val="9B0EC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27B82"/>
    <w:multiLevelType w:val="hybridMultilevel"/>
    <w:tmpl w:val="DCFEA7BE"/>
    <w:lvl w:ilvl="0" w:tplc="6690010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75FE6"/>
    <w:multiLevelType w:val="hybridMultilevel"/>
    <w:tmpl w:val="0D9094B6"/>
    <w:lvl w:ilvl="0" w:tplc="2C307A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E185D"/>
    <w:multiLevelType w:val="hybridMultilevel"/>
    <w:tmpl w:val="C03E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A6318"/>
    <w:multiLevelType w:val="hybridMultilevel"/>
    <w:tmpl w:val="DC5E8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7"/>
  </w:num>
  <w:num w:numId="5">
    <w:abstractNumId w:val="12"/>
  </w:num>
  <w:num w:numId="6">
    <w:abstractNumId w:val="1"/>
  </w:num>
  <w:num w:numId="7">
    <w:abstractNumId w:val="23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21"/>
  </w:num>
  <w:num w:numId="16">
    <w:abstractNumId w:val="18"/>
  </w:num>
  <w:num w:numId="17">
    <w:abstractNumId w:val="2"/>
  </w:num>
  <w:num w:numId="18">
    <w:abstractNumId w:val="3"/>
  </w:num>
  <w:num w:numId="19">
    <w:abstractNumId w:val="14"/>
  </w:num>
  <w:num w:numId="20">
    <w:abstractNumId w:val="16"/>
  </w:num>
  <w:num w:numId="21">
    <w:abstractNumId w:val="24"/>
  </w:num>
  <w:num w:numId="22">
    <w:abstractNumId w:val="17"/>
  </w:num>
  <w:num w:numId="23">
    <w:abstractNumId w:val="19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153EC"/>
    <w:rsid w:val="00025A5A"/>
    <w:rsid w:val="00087637"/>
    <w:rsid w:val="000A04C7"/>
    <w:rsid w:val="000A48C1"/>
    <w:rsid w:val="000A6407"/>
    <w:rsid w:val="000C5790"/>
    <w:rsid w:val="000F5FC8"/>
    <w:rsid w:val="00104F4A"/>
    <w:rsid w:val="00116062"/>
    <w:rsid w:val="001244AB"/>
    <w:rsid w:val="0012526D"/>
    <w:rsid w:val="00135D5A"/>
    <w:rsid w:val="0015010A"/>
    <w:rsid w:val="00160165"/>
    <w:rsid w:val="001B0BC1"/>
    <w:rsid w:val="001B7AB8"/>
    <w:rsid w:val="001F1AF6"/>
    <w:rsid w:val="001F1E82"/>
    <w:rsid w:val="00206874"/>
    <w:rsid w:val="00206C36"/>
    <w:rsid w:val="002256A5"/>
    <w:rsid w:val="00230AC6"/>
    <w:rsid w:val="002409CE"/>
    <w:rsid w:val="00247485"/>
    <w:rsid w:val="00252839"/>
    <w:rsid w:val="00287703"/>
    <w:rsid w:val="0029211A"/>
    <w:rsid w:val="002A6C62"/>
    <w:rsid w:val="00362877"/>
    <w:rsid w:val="00382838"/>
    <w:rsid w:val="00383674"/>
    <w:rsid w:val="00392CB7"/>
    <w:rsid w:val="00392ED0"/>
    <w:rsid w:val="00394CB4"/>
    <w:rsid w:val="003A227D"/>
    <w:rsid w:val="003A5283"/>
    <w:rsid w:val="003C0189"/>
    <w:rsid w:val="003D2789"/>
    <w:rsid w:val="00426825"/>
    <w:rsid w:val="00455061"/>
    <w:rsid w:val="00461E7E"/>
    <w:rsid w:val="00491449"/>
    <w:rsid w:val="00497407"/>
    <w:rsid w:val="004C5D89"/>
    <w:rsid w:val="004D0185"/>
    <w:rsid w:val="004E7280"/>
    <w:rsid w:val="005132E0"/>
    <w:rsid w:val="0053485F"/>
    <w:rsid w:val="005414B5"/>
    <w:rsid w:val="00541E38"/>
    <w:rsid w:val="005F13C1"/>
    <w:rsid w:val="005F5E1F"/>
    <w:rsid w:val="00624A6B"/>
    <w:rsid w:val="00643E3D"/>
    <w:rsid w:val="006524CE"/>
    <w:rsid w:val="0067009D"/>
    <w:rsid w:val="006B70A9"/>
    <w:rsid w:val="006C7FD1"/>
    <w:rsid w:val="006D0321"/>
    <w:rsid w:val="006D06FC"/>
    <w:rsid w:val="00723FEF"/>
    <w:rsid w:val="00741248"/>
    <w:rsid w:val="00757D87"/>
    <w:rsid w:val="007708D0"/>
    <w:rsid w:val="007F33FE"/>
    <w:rsid w:val="007F6104"/>
    <w:rsid w:val="00827FD3"/>
    <w:rsid w:val="00853D4B"/>
    <w:rsid w:val="0086749A"/>
    <w:rsid w:val="00874286"/>
    <w:rsid w:val="00881061"/>
    <w:rsid w:val="008977FF"/>
    <w:rsid w:val="008E5D76"/>
    <w:rsid w:val="008F7575"/>
    <w:rsid w:val="0097737A"/>
    <w:rsid w:val="009A3F0D"/>
    <w:rsid w:val="009A59F7"/>
    <w:rsid w:val="00A116C7"/>
    <w:rsid w:val="00A22E10"/>
    <w:rsid w:val="00A74645"/>
    <w:rsid w:val="00A96CD7"/>
    <w:rsid w:val="00AA0A65"/>
    <w:rsid w:val="00AB24A5"/>
    <w:rsid w:val="00AF6C1E"/>
    <w:rsid w:val="00B05C01"/>
    <w:rsid w:val="00B167EA"/>
    <w:rsid w:val="00B40719"/>
    <w:rsid w:val="00B43818"/>
    <w:rsid w:val="00B5664A"/>
    <w:rsid w:val="00B778C4"/>
    <w:rsid w:val="00BA236E"/>
    <w:rsid w:val="00BC1DCD"/>
    <w:rsid w:val="00BD2956"/>
    <w:rsid w:val="00C34F24"/>
    <w:rsid w:val="00C35BD9"/>
    <w:rsid w:val="00C632E9"/>
    <w:rsid w:val="00C65F8F"/>
    <w:rsid w:val="00CA6794"/>
    <w:rsid w:val="00CB1CBE"/>
    <w:rsid w:val="00D75EE1"/>
    <w:rsid w:val="00DB68AE"/>
    <w:rsid w:val="00DE11CE"/>
    <w:rsid w:val="00DF2B05"/>
    <w:rsid w:val="00E04927"/>
    <w:rsid w:val="00E56C44"/>
    <w:rsid w:val="00E76267"/>
    <w:rsid w:val="00E80362"/>
    <w:rsid w:val="00ED3648"/>
    <w:rsid w:val="00EF595B"/>
    <w:rsid w:val="00F31E43"/>
    <w:rsid w:val="00F37D02"/>
    <w:rsid w:val="00F72BFC"/>
    <w:rsid w:val="00F82CC3"/>
    <w:rsid w:val="00F95DFF"/>
    <w:rsid w:val="00FA5BDC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6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6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1A1-86C0-403E-A4A7-CBBCCEA8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Formal Assessment Task Year 11 The Investigation of Ancient Sites and Sources</vt:lpstr>
    </vt:vector>
  </TitlesOfParts>
  <Company>NSW Education Standards Authority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Assessment Task Year 11 The Investigation of Ancient Sites and Sources</dc:title>
  <dc:creator>NSW Education Standards Authority</dc:creator>
  <cp:lastModifiedBy>Emmanuel Karayiannis</cp:lastModifiedBy>
  <cp:revision>80</cp:revision>
  <cp:lastPrinted>2017-05-25T04:19:00Z</cp:lastPrinted>
  <dcterms:created xsi:type="dcterms:W3CDTF">2016-10-18T23:33:00Z</dcterms:created>
  <dcterms:modified xsi:type="dcterms:W3CDTF">2017-06-05T23:43:00Z</dcterms:modified>
</cp:coreProperties>
</file>