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B" w:rsidRPr="003644EB" w:rsidRDefault="003644EB" w:rsidP="00E929BB">
      <w:pPr>
        <w:kinsoku w:val="0"/>
        <w:overflowPunct w:val="0"/>
        <w:autoSpaceDE w:val="0"/>
        <w:autoSpaceDN w:val="0"/>
        <w:adjustRightInd w:val="0"/>
        <w:spacing w:line="240" w:lineRule="auto"/>
        <w:ind w:left="1276" w:right="1395"/>
        <w:jc w:val="center"/>
        <w:rPr>
          <w:rFonts w:ascii="Arial" w:hAnsi="Arial" w:cs="Arial"/>
          <w:sz w:val="28"/>
          <w:szCs w:val="28"/>
        </w:rPr>
      </w:pPr>
      <w:r w:rsidRPr="003644EB">
        <w:rPr>
          <w:rFonts w:ascii="Arial" w:hAnsi="Arial" w:cs="Arial"/>
          <w:b/>
          <w:bCs/>
          <w:sz w:val="28"/>
          <w:szCs w:val="28"/>
        </w:rPr>
        <w:t>Sample Formal Assessment Task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3644EB">
        <w:rPr>
          <w:rFonts w:ascii="Arial" w:hAnsi="Arial" w:cs="Arial"/>
          <w:b/>
          <w:bCs/>
          <w:sz w:val="28"/>
          <w:szCs w:val="28"/>
        </w:rPr>
        <w:t>Notification</w:t>
      </w:r>
    </w:p>
    <w:p w:rsidR="003644EB" w:rsidRDefault="003644EB" w:rsidP="00E929BB">
      <w:pPr>
        <w:kinsoku w:val="0"/>
        <w:overflowPunct w:val="0"/>
        <w:autoSpaceDE w:val="0"/>
        <w:autoSpaceDN w:val="0"/>
        <w:adjustRightInd w:val="0"/>
        <w:spacing w:line="240" w:lineRule="auto"/>
        <w:ind w:left="2262" w:right="2330"/>
        <w:jc w:val="center"/>
        <w:rPr>
          <w:rFonts w:ascii="Arial" w:hAnsi="Arial" w:cs="Arial"/>
          <w:b/>
          <w:bCs/>
          <w:sz w:val="28"/>
          <w:szCs w:val="28"/>
        </w:rPr>
      </w:pPr>
      <w:r w:rsidRPr="003644EB">
        <w:rPr>
          <w:rFonts w:ascii="Arial" w:hAnsi="Arial" w:cs="Arial"/>
          <w:b/>
          <w:sz w:val="28"/>
          <w:szCs w:val="28"/>
        </w:rPr>
        <w:t xml:space="preserve">Ancient History </w:t>
      </w:r>
      <w:r w:rsidRPr="003644EB">
        <w:rPr>
          <w:rFonts w:ascii="Arial" w:hAnsi="Arial" w:cs="Arial"/>
          <w:b/>
          <w:bCs/>
          <w:sz w:val="28"/>
          <w:szCs w:val="28"/>
        </w:rPr>
        <w:t>– Year</w:t>
      </w:r>
      <w:r w:rsidRPr="003644EB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332A8C">
        <w:rPr>
          <w:rFonts w:ascii="Arial" w:hAnsi="Arial" w:cs="Arial"/>
          <w:b/>
          <w:bCs/>
          <w:sz w:val="28"/>
          <w:szCs w:val="28"/>
        </w:rPr>
        <w:t>11</w:t>
      </w:r>
    </w:p>
    <w:p w:rsidR="00332A8C" w:rsidRDefault="00332A8C" w:rsidP="00E929BB">
      <w:pPr>
        <w:kinsoku w:val="0"/>
        <w:overflowPunct w:val="0"/>
        <w:autoSpaceDE w:val="0"/>
        <w:autoSpaceDN w:val="0"/>
        <w:adjustRightInd w:val="0"/>
        <w:spacing w:line="240" w:lineRule="auto"/>
        <w:ind w:left="2262" w:right="233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Cultural Heritage and the Role of Museums</w:t>
      </w:r>
    </w:p>
    <w:p w:rsidR="00DE7DEF" w:rsidRPr="00DE7DEF" w:rsidRDefault="00DE7DEF" w:rsidP="00E929BB">
      <w:pPr>
        <w:kinsoku w:val="0"/>
        <w:overflowPunct w:val="0"/>
        <w:autoSpaceDE w:val="0"/>
        <w:autoSpaceDN w:val="0"/>
        <w:adjustRightInd w:val="0"/>
        <w:spacing w:line="240" w:lineRule="auto"/>
        <w:ind w:left="2262" w:right="233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E7DEF">
        <w:rPr>
          <w:rFonts w:ascii="Arial" w:hAnsi="Arial" w:cs="Arial"/>
          <w:b/>
          <w:bCs/>
          <w:i/>
          <w:sz w:val="20"/>
          <w:szCs w:val="20"/>
        </w:rPr>
        <w:t>Sample for implementation for Year 11 from 2018</w:t>
      </w:r>
    </w:p>
    <w:p w:rsidR="003644EB" w:rsidRPr="00C91061" w:rsidRDefault="003644EB" w:rsidP="00AD7389">
      <w:pPr>
        <w:kinsoku w:val="0"/>
        <w:overflowPunct w:val="0"/>
        <w:autoSpaceDE w:val="0"/>
        <w:autoSpaceDN w:val="0"/>
        <w:adjustRightInd w:val="0"/>
        <w:ind w:left="142" w:right="2330"/>
        <w:rPr>
          <w:rFonts w:ascii="Arial" w:hAnsi="Arial" w:cs="Arial"/>
          <w:b/>
          <w:bCs/>
        </w:rPr>
      </w:pPr>
      <w:r w:rsidRPr="00C91061">
        <w:rPr>
          <w:rFonts w:ascii="Arial" w:hAnsi="Arial" w:cs="Arial"/>
          <w:b/>
          <w:bCs/>
        </w:rPr>
        <w:t>Context</w:t>
      </w:r>
    </w:p>
    <w:p w:rsidR="003644EB" w:rsidRDefault="003644EB">
      <w:pPr>
        <w:kinsoku w:val="0"/>
        <w:overflowPunct w:val="0"/>
        <w:autoSpaceDE w:val="0"/>
        <w:autoSpaceDN w:val="0"/>
        <w:adjustRightInd w:val="0"/>
        <w:ind w:left="142" w:right="-23"/>
        <w:rPr>
          <w:rFonts w:ascii="Arial" w:hAnsi="Arial" w:cs="Arial"/>
          <w:bCs/>
        </w:rPr>
      </w:pPr>
      <w:r w:rsidRPr="00C91061">
        <w:rPr>
          <w:rFonts w:ascii="Arial" w:hAnsi="Arial" w:cs="Arial"/>
          <w:bCs/>
        </w:rPr>
        <w:t>In class, stu</w:t>
      </w:r>
      <w:r w:rsidR="00332A8C">
        <w:rPr>
          <w:rFonts w:ascii="Arial" w:hAnsi="Arial" w:cs="Arial"/>
          <w:bCs/>
        </w:rPr>
        <w:t>dents have investigated</w:t>
      </w:r>
      <w:r w:rsidR="00332A8C" w:rsidRPr="00332A8C">
        <w:rPr>
          <w:rFonts w:ascii="Arial" w:hAnsi="Arial" w:cs="Arial"/>
          <w:bCs/>
        </w:rPr>
        <w:t xml:space="preserve"> the significance of artefacts in relation to cultural heritage, ownership and the role of museums.</w:t>
      </w:r>
      <w:r w:rsidRPr="00C91061">
        <w:rPr>
          <w:rFonts w:ascii="Arial" w:hAnsi="Arial" w:cs="Arial"/>
          <w:bCs/>
        </w:rPr>
        <w:t xml:space="preserve"> This task presents an opportunity for stu</w:t>
      </w:r>
      <w:r w:rsidR="00C91061" w:rsidRPr="00C91061">
        <w:rPr>
          <w:rFonts w:ascii="Arial" w:hAnsi="Arial" w:cs="Arial"/>
          <w:bCs/>
        </w:rPr>
        <w:t xml:space="preserve">dents to apply </w:t>
      </w:r>
      <w:r w:rsidR="00332A8C">
        <w:rPr>
          <w:rFonts w:ascii="Arial" w:hAnsi="Arial" w:cs="Arial"/>
          <w:bCs/>
        </w:rPr>
        <w:t xml:space="preserve">Historical concepts and skills to engage in the debate about the ownership and </w:t>
      </w:r>
      <w:r w:rsidR="00C93B71">
        <w:rPr>
          <w:rFonts w:ascii="Arial" w:hAnsi="Arial" w:cs="Arial"/>
          <w:bCs/>
        </w:rPr>
        <w:t>return</w:t>
      </w:r>
      <w:r w:rsidR="00332A8C">
        <w:rPr>
          <w:rFonts w:ascii="Arial" w:hAnsi="Arial" w:cs="Arial"/>
          <w:bCs/>
        </w:rPr>
        <w:t xml:space="preserve"> of cultural property. </w:t>
      </w:r>
      <w:r w:rsidR="00C91061" w:rsidRPr="00C91061">
        <w:rPr>
          <w:rFonts w:ascii="Arial" w:hAnsi="Arial" w:cs="Arial"/>
          <w:bCs/>
        </w:rPr>
        <w:t xml:space="preserve"> </w:t>
      </w:r>
    </w:p>
    <w:tbl>
      <w:tblPr>
        <w:tblW w:w="1046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3644EB" w:rsidRPr="003644EB" w:rsidTr="00BA28B9">
        <w:tc>
          <w:tcPr>
            <w:tcW w:w="3489" w:type="dxa"/>
          </w:tcPr>
          <w:p w:rsidR="003644EB" w:rsidRPr="003644EB" w:rsidRDefault="003644EB" w:rsidP="00237603">
            <w:pPr>
              <w:kinsoku w:val="0"/>
              <w:overflowPunct w:val="0"/>
              <w:autoSpaceDE w:val="0"/>
              <w:autoSpaceDN w:val="0"/>
              <w:adjustRightInd w:val="0"/>
              <w:spacing w:before="12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C1B">
              <w:rPr>
                <w:rFonts w:ascii="Arial" w:hAnsi="Arial" w:cs="Arial"/>
                <w:b/>
                <w:bCs/>
              </w:rPr>
              <w:t>Task number:</w:t>
            </w:r>
            <w:r w:rsidR="00C91061" w:rsidRPr="00665C1B">
              <w:rPr>
                <w:rFonts w:ascii="Arial" w:hAnsi="Arial" w:cs="Arial"/>
                <w:b/>
                <w:bCs/>
              </w:rPr>
              <w:t xml:space="preserve"> </w:t>
            </w:r>
            <w:r w:rsidR="00B4575C" w:rsidRPr="00665C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89" w:type="dxa"/>
          </w:tcPr>
          <w:p w:rsidR="003644EB" w:rsidRPr="003644EB" w:rsidRDefault="003644EB" w:rsidP="00237603">
            <w:pPr>
              <w:kinsoku w:val="0"/>
              <w:overflowPunct w:val="0"/>
              <w:autoSpaceDE w:val="0"/>
              <w:autoSpaceDN w:val="0"/>
              <w:adjustRightInd w:val="0"/>
              <w:spacing w:before="12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C1B">
              <w:rPr>
                <w:rFonts w:ascii="Arial" w:hAnsi="Arial" w:cs="Arial"/>
                <w:b/>
                <w:bCs/>
              </w:rPr>
              <w:t>Weighting:</w:t>
            </w:r>
            <w:r w:rsidR="00C91061" w:rsidRPr="00AD7389">
              <w:rPr>
                <w:rFonts w:ascii="Arial" w:hAnsi="Arial" w:cs="Arial"/>
                <w:bCs/>
              </w:rPr>
              <w:t xml:space="preserve"> 30%</w:t>
            </w:r>
          </w:p>
        </w:tc>
        <w:tc>
          <w:tcPr>
            <w:tcW w:w="3489" w:type="dxa"/>
          </w:tcPr>
          <w:p w:rsidR="003644EB" w:rsidRPr="003644EB" w:rsidRDefault="003644EB" w:rsidP="00237603">
            <w:pPr>
              <w:kinsoku w:val="0"/>
              <w:overflowPunct w:val="0"/>
              <w:autoSpaceDE w:val="0"/>
              <w:autoSpaceDN w:val="0"/>
              <w:adjustRightInd w:val="0"/>
              <w:spacing w:before="12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C1B">
              <w:rPr>
                <w:rFonts w:ascii="Arial" w:hAnsi="Arial" w:cs="Arial"/>
                <w:b/>
                <w:bCs/>
              </w:rPr>
              <w:t>Timing:</w:t>
            </w:r>
            <w:r w:rsidR="00C91061" w:rsidRPr="00665C1B">
              <w:rPr>
                <w:rFonts w:ascii="Arial" w:hAnsi="Arial" w:cs="Arial"/>
                <w:b/>
                <w:bCs/>
              </w:rPr>
              <w:t xml:space="preserve"> </w:t>
            </w:r>
            <w:r w:rsidR="00B4575C" w:rsidRPr="00665C1B">
              <w:rPr>
                <w:rFonts w:ascii="Arial" w:hAnsi="Arial" w:cs="Arial"/>
                <w:bCs/>
              </w:rPr>
              <w:t>Term 1, Week 8</w:t>
            </w:r>
          </w:p>
        </w:tc>
      </w:tr>
      <w:tr w:rsidR="003644EB" w:rsidRPr="003644EB" w:rsidTr="00BA28B9">
        <w:tc>
          <w:tcPr>
            <w:tcW w:w="10467" w:type="dxa"/>
            <w:gridSpan w:val="3"/>
          </w:tcPr>
          <w:p w:rsidR="003644EB" w:rsidRDefault="003644EB" w:rsidP="00E929B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/>
              <w:rPr>
                <w:rFonts w:ascii="Arial" w:hAnsi="Arial" w:cs="Arial"/>
              </w:rPr>
            </w:pPr>
            <w:r w:rsidRPr="003644EB">
              <w:rPr>
                <w:rFonts w:ascii="Arial" w:hAnsi="Arial" w:cs="Arial"/>
                <w:b/>
                <w:bCs/>
              </w:rPr>
              <w:t>Outcomes</w:t>
            </w:r>
            <w:r w:rsidRPr="003644E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3644EB">
              <w:rPr>
                <w:rFonts w:ascii="Arial" w:hAnsi="Arial" w:cs="Arial"/>
                <w:b/>
                <w:bCs/>
              </w:rPr>
              <w:t>assessed</w:t>
            </w:r>
          </w:p>
          <w:p w:rsidR="00C91061" w:rsidRDefault="00C91061" w:rsidP="00E929BB">
            <w:pPr>
              <w:kinsoku w:val="0"/>
              <w:overflowPunct w:val="0"/>
              <w:autoSpaceDE w:val="0"/>
              <w:autoSpaceDN w:val="0"/>
              <w:adjustRightInd w:val="0"/>
              <w:spacing w:before="62" w:after="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student:</w:t>
            </w:r>
          </w:p>
          <w:p w:rsidR="00B17217" w:rsidRDefault="00B17217" w:rsidP="00E929B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D5952" w:rsidRPr="002D5952">
              <w:rPr>
                <w:b/>
                <w:bCs/>
                <w:sz w:val="22"/>
                <w:szCs w:val="22"/>
              </w:rPr>
              <w:t xml:space="preserve">AH11-6 </w:t>
            </w:r>
            <w:r w:rsidR="002D5952" w:rsidRPr="002D5952">
              <w:rPr>
                <w:sz w:val="22"/>
                <w:szCs w:val="22"/>
              </w:rPr>
              <w:t>analyses and interprets different types of sources for evidence to s</w:t>
            </w:r>
            <w:r>
              <w:rPr>
                <w:sz w:val="22"/>
                <w:szCs w:val="22"/>
              </w:rPr>
              <w:t>upport an historical account or</w:t>
            </w:r>
          </w:p>
          <w:p w:rsidR="002D5952" w:rsidRPr="002D5952" w:rsidRDefault="00B17217" w:rsidP="00E929B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5952" w:rsidRPr="002D5952">
              <w:rPr>
                <w:sz w:val="22"/>
                <w:szCs w:val="22"/>
              </w:rPr>
              <w:t xml:space="preserve">argument </w:t>
            </w:r>
          </w:p>
          <w:p w:rsidR="002D5952" w:rsidRPr="002D5952" w:rsidRDefault="00B17217" w:rsidP="00E929B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D5952" w:rsidRPr="002D5952">
              <w:rPr>
                <w:b/>
                <w:bCs/>
                <w:sz w:val="22"/>
                <w:szCs w:val="22"/>
              </w:rPr>
              <w:t xml:space="preserve">AH11-7 </w:t>
            </w:r>
            <w:r w:rsidR="002D5952" w:rsidRPr="002D5952">
              <w:rPr>
                <w:sz w:val="22"/>
                <w:szCs w:val="22"/>
              </w:rPr>
              <w:t xml:space="preserve">discusses and evaluates differing interpretations and representations of the past </w:t>
            </w:r>
          </w:p>
          <w:p w:rsidR="00B17217" w:rsidRDefault="00B17217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4245E" w:rsidRPr="00A4245E">
              <w:rPr>
                <w:rFonts w:ascii="Arial" w:hAnsi="Arial" w:cs="Arial"/>
                <w:b/>
                <w:bCs/>
              </w:rPr>
              <w:t>AH11-9</w:t>
            </w:r>
            <w:r w:rsidR="00A4245E" w:rsidRPr="00A4245E">
              <w:rPr>
                <w:b/>
                <w:bCs/>
              </w:rPr>
              <w:t xml:space="preserve"> </w:t>
            </w:r>
            <w:r w:rsidR="00A4245E" w:rsidRPr="00A4245E">
              <w:rPr>
                <w:rFonts w:ascii="Arial" w:hAnsi="Arial" w:cs="Arial"/>
                <w:color w:val="000000"/>
              </w:rPr>
              <w:t>communicates historical understanding, using historical kn</w:t>
            </w:r>
            <w:r>
              <w:rPr>
                <w:rFonts w:ascii="Arial" w:hAnsi="Arial" w:cs="Arial"/>
                <w:color w:val="000000"/>
              </w:rPr>
              <w:t>owledge, concepts and terms, in</w:t>
            </w:r>
          </w:p>
          <w:p w:rsidR="00A4245E" w:rsidRDefault="00B17217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4245E" w:rsidRPr="00A4245E">
              <w:rPr>
                <w:rFonts w:ascii="Arial" w:hAnsi="Arial" w:cs="Arial"/>
                <w:color w:val="000000"/>
              </w:rPr>
              <w:t xml:space="preserve">appropriate and well-structured forms </w:t>
            </w:r>
          </w:p>
          <w:p w:rsidR="00C91061" w:rsidRPr="003644EB" w:rsidRDefault="00B17217" w:rsidP="00AD7389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D1507">
              <w:rPr>
                <w:rFonts w:ascii="Arial" w:hAnsi="Arial" w:cs="Arial"/>
                <w:b/>
                <w:bCs/>
              </w:rPr>
              <w:t>AH11-10</w:t>
            </w:r>
            <w:r w:rsidR="002D5952" w:rsidRPr="002D5952">
              <w:rPr>
                <w:rFonts w:ascii="Arial" w:hAnsi="Arial" w:cs="Arial"/>
                <w:b/>
                <w:bCs/>
              </w:rPr>
              <w:t xml:space="preserve"> </w:t>
            </w:r>
            <w:r w:rsidR="00DD1507" w:rsidRPr="00DD1507">
              <w:rPr>
                <w:rFonts w:ascii="Arial" w:hAnsi="Arial" w:cs="Arial"/>
              </w:rPr>
              <w:t xml:space="preserve">discusses contemporary methods and issues involved in the investigation of ancient history </w:t>
            </w:r>
          </w:p>
        </w:tc>
      </w:tr>
      <w:tr w:rsidR="003644EB" w:rsidRPr="003644EB" w:rsidTr="00BA28B9">
        <w:tc>
          <w:tcPr>
            <w:tcW w:w="10467" w:type="dxa"/>
            <w:gridSpan w:val="3"/>
          </w:tcPr>
          <w:p w:rsidR="003644EB" w:rsidRPr="003644EB" w:rsidRDefault="003644EB" w:rsidP="00AD738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7"/>
              <w:rPr>
                <w:rFonts w:ascii="Arial" w:hAnsi="Arial" w:cs="Arial"/>
              </w:rPr>
            </w:pPr>
            <w:r w:rsidRPr="003644EB">
              <w:rPr>
                <w:rFonts w:ascii="Arial" w:hAnsi="Arial" w:cs="Arial"/>
                <w:b/>
                <w:bCs/>
              </w:rPr>
              <w:t>Nature of the</w:t>
            </w:r>
            <w:r w:rsidRPr="003644EB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B17217">
              <w:rPr>
                <w:rFonts w:ascii="Arial" w:hAnsi="Arial" w:cs="Arial"/>
                <w:b/>
                <w:bCs/>
              </w:rPr>
              <w:t>task</w:t>
            </w:r>
          </w:p>
          <w:p w:rsidR="003644EB" w:rsidRDefault="00F30399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This task </w:t>
            </w:r>
            <w:r w:rsidR="006E3294">
              <w:rPr>
                <w:rFonts w:ascii="Arial" w:hAnsi="Arial" w:cs="Arial"/>
                <w:iCs/>
              </w:rPr>
              <w:t>focuses on the Parthenon s</w:t>
            </w:r>
            <w:r w:rsidR="00B17217">
              <w:rPr>
                <w:rFonts w:ascii="Arial" w:hAnsi="Arial" w:cs="Arial"/>
                <w:iCs/>
              </w:rPr>
              <w:t xml:space="preserve">culptures and </w:t>
            </w:r>
            <w:r>
              <w:rPr>
                <w:rFonts w:ascii="Arial" w:hAnsi="Arial" w:cs="Arial"/>
                <w:iCs/>
              </w:rPr>
              <w:t>is comprised of</w:t>
            </w:r>
            <w:r w:rsidR="006E3294">
              <w:rPr>
                <w:rFonts w:ascii="Arial" w:hAnsi="Arial" w:cs="Arial"/>
                <w:iCs/>
              </w:rPr>
              <w:t xml:space="preserve"> </w:t>
            </w:r>
            <w:r w:rsidR="00B17217">
              <w:rPr>
                <w:rFonts w:ascii="Arial" w:hAnsi="Arial" w:cs="Arial"/>
                <w:iCs/>
              </w:rPr>
              <w:t xml:space="preserve">source analysis and </w:t>
            </w:r>
            <w:r w:rsidR="006E3294">
              <w:rPr>
                <w:rFonts w:ascii="Arial" w:hAnsi="Arial" w:cs="Arial"/>
                <w:iCs/>
              </w:rPr>
              <w:t xml:space="preserve">an </w:t>
            </w:r>
            <w:r w:rsidR="00B17217">
              <w:rPr>
                <w:rFonts w:ascii="Arial" w:hAnsi="Arial" w:cs="Arial"/>
                <w:iCs/>
              </w:rPr>
              <w:t>extended response.</w:t>
            </w:r>
          </w:p>
          <w:p w:rsidR="00F30399" w:rsidRDefault="00F30399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60"/>
              <w:rPr>
                <w:rFonts w:ascii="Arial" w:hAnsi="Arial" w:cs="Arial"/>
                <w:iCs/>
                <w:u w:val="single"/>
              </w:rPr>
            </w:pPr>
          </w:p>
          <w:p w:rsidR="00622954" w:rsidRDefault="006E3294" w:rsidP="00AD738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59"/>
              <w:rPr>
                <w:rFonts w:ascii="Arial" w:hAnsi="Arial" w:cs="Arial"/>
                <w:iCs/>
              </w:rPr>
            </w:pPr>
            <w:r w:rsidRPr="006E3294">
              <w:rPr>
                <w:rFonts w:ascii="Arial" w:hAnsi="Arial" w:cs="Arial"/>
                <w:iCs/>
              </w:rPr>
              <w:t>In preparation for your extended response, c</w:t>
            </w:r>
            <w:r w:rsidR="00622954" w:rsidRPr="006E3294">
              <w:rPr>
                <w:rFonts w:ascii="Arial" w:hAnsi="Arial" w:cs="Arial"/>
                <w:iCs/>
              </w:rPr>
              <w:t>onsider</w:t>
            </w:r>
            <w:r w:rsidR="00622954">
              <w:rPr>
                <w:rFonts w:ascii="Arial" w:hAnsi="Arial" w:cs="Arial"/>
                <w:iCs/>
              </w:rPr>
              <w:t xml:space="preserve"> the arguments for and against the return of the Parthenon </w:t>
            </w:r>
            <w:r>
              <w:rPr>
                <w:rFonts w:ascii="Arial" w:hAnsi="Arial" w:cs="Arial"/>
                <w:iCs/>
              </w:rPr>
              <w:t>s</w:t>
            </w:r>
            <w:r w:rsidR="00622954">
              <w:rPr>
                <w:rFonts w:ascii="Arial" w:hAnsi="Arial" w:cs="Arial"/>
                <w:iCs/>
              </w:rPr>
              <w:t>culpture</w:t>
            </w:r>
            <w:r w:rsidR="00F46D07">
              <w:rPr>
                <w:rFonts w:ascii="Arial" w:hAnsi="Arial" w:cs="Arial"/>
                <w:iCs/>
              </w:rPr>
              <w:t>s</w:t>
            </w:r>
            <w:r w:rsidR="00622954">
              <w:rPr>
                <w:rFonts w:ascii="Arial" w:hAnsi="Arial" w:cs="Arial"/>
                <w:iCs/>
              </w:rPr>
              <w:t xml:space="preserve"> to their original home. Locate four </w:t>
            </w:r>
            <w:r w:rsidR="00B17217">
              <w:rPr>
                <w:rFonts w:ascii="Arial" w:hAnsi="Arial" w:cs="Arial"/>
                <w:iCs/>
              </w:rPr>
              <w:t xml:space="preserve">contemporary </w:t>
            </w:r>
            <w:r w:rsidR="00622954">
              <w:rPr>
                <w:rFonts w:ascii="Arial" w:hAnsi="Arial" w:cs="Arial"/>
                <w:iCs/>
              </w:rPr>
              <w:t xml:space="preserve">sources that provide different perspectives about the debate. Two sources will be from the Greek perspective and two sources will be from the British perspective. </w:t>
            </w:r>
            <w:r w:rsidR="00B17217">
              <w:rPr>
                <w:rFonts w:ascii="Arial" w:hAnsi="Arial" w:cs="Arial"/>
                <w:iCs/>
              </w:rPr>
              <w:t>For each source, c</w:t>
            </w:r>
            <w:r w:rsidR="00622954">
              <w:rPr>
                <w:rFonts w:ascii="Arial" w:hAnsi="Arial" w:cs="Arial"/>
                <w:iCs/>
              </w:rPr>
              <w:t>omplete the source analysis scaffold</w:t>
            </w:r>
            <w:r w:rsidR="00B17217">
              <w:rPr>
                <w:rFonts w:ascii="Arial" w:hAnsi="Arial" w:cs="Arial"/>
                <w:iCs/>
              </w:rPr>
              <w:t xml:space="preserve"> </w:t>
            </w:r>
            <w:r w:rsidR="00C93B71">
              <w:rPr>
                <w:rFonts w:ascii="Arial" w:hAnsi="Arial" w:cs="Arial"/>
                <w:iCs/>
              </w:rPr>
              <w:t>developed</w:t>
            </w:r>
            <w:r w:rsidR="00B17217">
              <w:rPr>
                <w:rFonts w:ascii="Arial" w:hAnsi="Arial" w:cs="Arial"/>
                <w:iCs/>
              </w:rPr>
              <w:t xml:space="preserve"> by your teacher</w:t>
            </w:r>
            <w:r w:rsidR="00622954">
              <w:rPr>
                <w:rFonts w:ascii="Arial" w:hAnsi="Arial" w:cs="Arial"/>
                <w:iCs/>
              </w:rPr>
              <w:t xml:space="preserve">. </w:t>
            </w:r>
            <w:r w:rsidR="00DD1507">
              <w:rPr>
                <w:rFonts w:ascii="Arial" w:hAnsi="Arial" w:cs="Arial"/>
                <w:iCs/>
              </w:rPr>
              <w:t>You</w:t>
            </w:r>
            <w:r w:rsidR="00421FF4">
              <w:rPr>
                <w:rFonts w:ascii="Arial" w:hAnsi="Arial" w:cs="Arial"/>
                <w:iCs/>
              </w:rPr>
              <w:t>r</w:t>
            </w:r>
            <w:r w:rsidR="00DD1507">
              <w:rPr>
                <w:rFonts w:ascii="Arial" w:hAnsi="Arial" w:cs="Arial"/>
                <w:iCs/>
              </w:rPr>
              <w:t xml:space="preserve"> analysis </w:t>
            </w:r>
            <w:r w:rsidR="00C93B71">
              <w:rPr>
                <w:rFonts w:ascii="Arial" w:hAnsi="Arial" w:cs="Arial"/>
                <w:iCs/>
              </w:rPr>
              <w:t>of</w:t>
            </w:r>
            <w:r w:rsidR="00622954">
              <w:rPr>
                <w:rFonts w:ascii="Arial" w:hAnsi="Arial" w:cs="Arial"/>
                <w:iCs/>
              </w:rPr>
              <w:t xml:space="preserve"> these s</w:t>
            </w:r>
            <w:r w:rsidR="00DD1507">
              <w:rPr>
                <w:rFonts w:ascii="Arial" w:hAnsi="Arial" w:cs="Arial"/>
                <w:iCs/>
              </w:rPr>
              <w:t>ources</w:t>
            </w:r>
            <w:r w:rsidR="00622954">
              <w:rPr>
                <w:rFonts w:ascii="Arial" w:hAnsi="Arial" w:cs="Arial"/>
                <w:iCs/>
              </w:rPr>
              <w:t xml:space="preserve"> will be used to support your</w:t>
            </w:r>
            <w:r w:rsidR="00EA7ECD">
              <w:rPr>
                <w:rFonts w:ascii="Arial" w:hAnsi="Arial" w:cs="Arial"/>
                <w:iCs/>
              </w:rPr>
              <w:t xml:space="preserve"> extended response</w:t>
            </w:r>
            <w:r w:rsidR="0093599B">
              <w:rPr>
                <w:rFonts w:ascii="Arial" w:hAnsi="Arial" w:cs="Arial"/>
                <w:iCs/>
              </w:rPr>
              <w:t>.</w:t>
            </w:r>
          </w:p>
          <w:p w:rsidR="00622954" w:rsidRDefault="00622954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60"/>
              <w:rPr>
                <w:rFonts w:ascii="Arial" w:hAnsi="Arial" w:cs="Arial"/>
                <w:iCs/>
                <w:u w:val="single"/>
              </w:rPr>
            </w:pPr>
          </w:p>
          <w:p w:rsidR="00EA7ECD" w:rsidRDefault="00EA7ECD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60"/>
              <w:rPr>
                <w:rFonts w:ascii="Arial" w:hAnsi="Arial" w:cs="Arial"/>
                <w:iCs/>
                <w:u w:val="single"/>
              </w:rPr>
            </w:pPr>
            <w:r>
              <w:rPr>
                <w:rFonts w:ascii="Arial" w:hAnsi="Arial" w:cs="Arial"/>
                <w:iCs/>
                <w:u w:val="single"/>
              </w:rPr>
              <w:t xml:space="preserve">Extended </w:t>
            </w:r>
            <w:r w:rsidR="00BF7914">
              <w:rPr>
                <w:rFonts w:ascii="Arial" w:hAnsi="Arial" w:cs="Arial"/>
                <w:iCs/>
                <w:u w:val="single"/>
              </w:rPr>
              <w:t>response</w:t>
            </w:r>
            <w:r>
              <w:rPr>
                <w:rFonts w:ascii="Arial" w:hAnsi="Arial" w:cs="Arial"/>
                <w:iCs/>
                <w:u w:val="single"/>
              </w:rPr>
              <w:t xml:space="preserve"> </w:t>
            </w:r>
            <w:r w:rsidR="00B17217">
              <w:rPr>
                <w:rFonts w:ascii="Arial" w:hAnsi="Arial" w:cs="Arial"/>
                <w:iCs/>
                <w:u w:val="single"/>
              </w:rPr>
              <w:t>–</w:t>
            </w:r>
            <w:r>
              <w:rPr>
                <w:rFonts w:ascii="Arial" w:hAnsi="Arial" w:cs="Arial"/>
                <w:iCs/>
                <w:u w:val="single"/>
              </w:rPr>
              <w:t xml:space="preserve"> 1000 words</w:t>
            </w:r>
          </w:p>
          <w:p w:rsidR="00E1653A" w:rsidRDefault="006D463F" w:rsidP="00AD738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59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You will be required to prepare a proposal to be presented to UNESCO</w:t>
            </w:r>
            <w:r w:rsidR="0093599B">
              <w:rPr>
                <w:rFonts w:ascii="Arial" w:hAnsi="Arial" w:cs="Arial"/>
                <w:iCs/>
              </w:rPr>
              <w:t>, who has</w:t>
            </w:r>
            <w:r>
              <w:rPr>
                <w:rFonts w:ascii="Arial" w:hAnsi="Arial" w:cs="Arial"/>
                <w:iCs/>
              </w:rPr>
              <w:t xml:space="preserve"> been </w:t>
            </w:r>
            <w:r w:rsidR="00622954">
              <w:rPr>
                <w:rFonts w:ascii="Arial" w:hAnsi="Arial" w:cs="Arial"/>
                <w:iCs/>
              </w:rPr>
              <w:t>assigned</w:t>
            </w:r>
            <w:r>
              <w:rPr>
                <w:rFonts w:ascii="Arial" w:hAnsi="Arial" w:cs="Arial"/>
                <w:iCs/>
              </w:rPr>
              <w:t xml:space="preserve"> to mediate the</w:t>
            </w:r>
            <w:r w:rsidR="00DD1507">
              <w:rPr>
                <w:rFonts w:ascii="Arial" w:hAnsi="Arial" w:cs="Arial"/>
                <w:iCs/>
              </w:rPr>
              <w:t xml:space="preserve"> dispute about the </w:t>
            </w:r>
            <w:r w:rsidR="00DD1507" w:rsidRPr="00DD1507">
              <w:rPr>
                <w:rFonts w:ascii="Arial" w:hAnsi="Arial" w:cs="Arial"/>
                <w:iCs/>
              </w:rPr>
              <w:t>ownership</w:t>
            </w:r>
            <w:r w:rsidR="00C93B71">
              <w:rPr>
                <w:rFonts w:ascii="Arial" w:hAnsi="Arial" w:cs="Arial"/>
                <w:iCs/>
              </w:rPr>
              <w:t xml:space="preserve"> and return</w:t>
            </w:r>
            <w:r>
              <w:rPr>
                <w:rFonts w:ascii="Arial" w:hAnsi="Arial" w:cs="Arial"/>
                <w:iCs/>
              </w:rPr>
              <w:t xml:space="preserve"> of the Parthenon </w:t>
            </w:r>
            <w:r w:rsidR="006E3294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culptures. In order to prepare your proposal you will need to decide on a position on the debate and </w:t>
            </w:r>
            <w:r w:rsidR="00C93B71">
              <w:rPr>
                <w:rFonts w:ascii="Arial" w:hAnsi="Arial" w:cs="Arial"/>
                <w:iCs/>
              </w:rPr>
              <w:t>evaluate various arguments</w:t>
            </w:r>
            <w:r>
              <w:rPr>
                <w:rFonts w:ascii="Arial" w:hAnsi="Arial" w:cs="Arial"/>
                <w:iCs/>
              </w:rPr>
              <w:t xml:space="preserve">. </w:t>
            </w:r>
            <w:r w:rsidR="006E3294">
              <w:rPr>
                <w:rFonts w:ascii="Arial" w:hAnsi="Arial" w:cs="Arial"/>
                <w:iCs/>
              </w:rPr>
              <w:t xml:space="preserve">In your response make explicit reference to the sources you </w:t>
            </w:r>
            <w:r w:rsidR="00E70EC0">
              <w:rPr>
                <w:rFonts w:ascii="Arial" w:hAnsi="Arial" w:cs="Arial"/>
                <w:iCs/>
              </w:rPr>
              <w:t xml:space="preserve">have </w:t>
            </w:r>
            <w:r w:rsidR="006E3294">
              <w:rPr>
                <w:rFonts w:ascii="Arial" w:hAnsi="Arial" w:cs="Arial"/>
                <w:iCs/>
              </w:rPr>
              <w:t xml:space="preserve">analysed. </w:t>
            </w:r>
            <w:r w:rsidR="00393A1C">
              <w:rPr>
                <w:rFonts w:ascii="Arial" w:hAnsi="Arial" w:cs="Arial"/>
                <w:iCs/>
              </w:rPr>
              <w:t>Cons</w:t>
            </w:r>
            <w:r w:rsidR="00C573D8">
              <w:rPr>
                <w:rFonts w:ascii="Arial" w:hAnsi="Arial" w:cs="Arial"/>
                <w:iCs/>
              </w:rPr>
              <w:t>ider the following questions</w:t>
            </w:r>
            <w:r w:rsidR="00393A1C">
              <w:rPr>
                <w:rFonts w:ascii="Arial" w:hAnsi="Arial" w:cs="Arial"/>
                <w:iCs/>
              </w:rPr>
              <w:t xml:space="preserve"> when preparing your proposal:</w:t>
            </w:r>
          </w:p>
          <w:p w:rsidR="00C573D8" w:rsidRDefault="00C573D8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60"/>
              <w:rPr>
                <w:rFonts w:ascii="Arial" w:hAnsi="Arial" w:cs="Arial"/>
                <w:iCs/>
              </w:rPr>
            </w:pPr>
          </w:p>
          <w:p w:rsidR="00393A1C" w:rsidRDefault="00393A1C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What i</w:t>
            </w:r>
            <w:r w:rsidR="006E3294">
              <w:rPr>
                <w:rFonts w:ascii="Arial" w:hAnsi="Arial" w:cs="Arial"/>
                <w:iCs/>
              </w:rPr>
              <w:t>s the history of the Parthenon s</w:t>
            </w:r>
            <w:r>
              <w:rPr>
                <w:rFonts w:ascii="Arial" w:hAnsi="Arial" w:cs="Arial"/>
                <w:iCs/>
              </w:rPr>
              <w:t>culptures?</w:t>
            </w:r>
          </w:p>
          <w:p w:rsidR="00393A1C" w:rsidRDefault="006E3294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How and why were the Parthenon s</w:t>
            </w:r>
            <w:r w:rsidR="00393A1C">
              <w:rPr>
                <w:rFonts w:ascii="Arial" w:hAnsi="Arial" w:cs="Arial"/>
                <w:iCs/>
              </w:rPr>
              <w:t>culptures removed?</w:t>
            </w:r>
          </w:p>
          <w:p w:rsidR="00393A1C" w:rsidRDefault="00393A1C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What is the</w:t>
            </w:r>
            <w:r w:rsidR="006E3294">
              <w:rPr>
                <w:rFonts w:ascii="Arial" w:hAnsi="Arial" w:cs="Arial"/>
                <w:iCs/>
              </w:rPr>
              <w:t xml:space="preserve"> significance of the Parthenon s</w:t>
            </w:r>
            <w:r>
              <w:rPr>
                <w:rFonts w:ascii="Arial" w:hAnsi="Arial" w:cs="Arial"/>
                <w:iCs/>
              </w:rPr>
              <w:t>culptures to Greece and to Britain?</w:t>
            </w:r>
          </w:p>
          <w:p w:rsidR="00393A1C" w:rsidRDefault="00393A1C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What problems may arise from the removal of ancient artefacts from their place of origin?</w:t>
            </w:r>
          </w:p>
          <w:p w:rsidR="00393A1C" w:rsidRDefault="00393A1C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What problems may arise from leaving artefacts in their place of origin?</w:t>
            </w:r>
          </w:p>
          <w:p w:rsidR="00FB5AA4" w:rsidRDefault="00C93B71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</w:t>
            </w:r>
            <w:r w:rsidR="00FB5AA4">
              <w:rPr>
                <w:rFonts w:ascii="Arial" w:hAnsi="Arial" w:cs="Arial"/>
                <w:iCs/>
              </w:rPr>
              <w:t xml:space="preserve">hould artefacts be </w:t>
            </w:r>
            <w:r w:rsidR="00CC3906">
              <w:rPr>
                <w:rFonts w:ascii="Arial" w:hAnsi="Arial" w:cs="Arial"/>
                <w:iCs/>
              </w:rPr>
              <w:t>returned to</w:t>
            </w:r>
            <w:r w:rsidR="00FB5AA4">
              <w:rPr>
                <w:rFonts w:ascii="Arial" w:hAnsi="Arial" w:cs="Arial"/>
                <w:iCs/>
              </w:rPr>
              <w:t xml:space="preserve"> their countries of origins?</w:t>
            </w:r>
          </w:p>
          <w:p w:rsidR="00393A1C" w:rsidRDefault="00393A1C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What role do museums play in our understanding of the ancient past?</w:t>
            </w:r>
          </w:p>
          <w:p w:rsidR="00FB5AA4" w:rsidRDefault="00393A1C" w:rsidP="00E929BB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What are the main arguments for the return of the </w:t>
            </w:r>
            <w:r w:rsidR="006E3294">
              <w:rPr>
                <w:rFonts w:ascii="Arial" w:hAnsi="Arial" w:cs="Arial"/>
                <w:iCs/>
              </w:rPr>
              <w:t>Parthenon s</w:t>
            </w:r>
            <w:r>
              <w:rPr>
                <w:rFonts w:ascii="Arial" w:hAnsi="Arial" w:cs="Arial"/>
                <w:iCs/>
              </w:rPr>
              <w:t>culptures to Greece</w:t>
            </w:r>
            <w:r w:rsidR="00FB5AA4">
              <w:rPr>
                <w:rFonts w:ascii="Arial" w:hAnsi="Arial" w:cs="Arial"/>
                <w:iCs/>
              </w:rPr>
              <w:t>?</w:t>
            </w:r>
          </w:p>
          <w:p w:rsidR="003A5945" w:rsidRPr="00AD7389" w:rsidRDefault="00FB5AA4" w:rsidP="00AD7389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60"/>
              <w:ind w:left="414" w:right="1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W</w:t>
            </w:r>
            <w:r w:rsidR="00393A1C">
              <w:rPr>
                <w:rFonts w:ascii="Arial" w:hAnsi="Arial" w:cs="Arial"/>
                <w:iCs/>
              </w:rPr>
              <w:t xml:space="preserve">hat are the main arguments for </w:t>
            </w:r>
            <w:r w:rsidR="006E3294">
              <w:rPr>
                <w:rFonts w:ascii="Arial" w:hAnsi="Arial" w:cs="Arial"/>
                <w:iCs/>
              </w:rPr>
              <w:t>the retaining of the Parthenon s</w:t>
            </w:r>
            <w:r w:rsidR="00393A1C">
              <w:rPr>
                <w:rFonts w:ascii="Arial" w:hAnsi="Arial" w:cs="Arial"/>
                <w:iCs/>
              </w:rPr>
              <w:t>culptures in Britain?</w:t>
            </w:r>
          </w:p>
        </w:tc>
      </w:tr>
    </w:tbl>
    <w:p w:rsidR="00E929BB" w:rsidRDefault="00E929BB">
      <w:r>
        <w:br w:type="page"/>
      </w:r>
    </w:p>
    <w:tbl>
      <w:tblPr>
        <w:tblW w:w="1046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10467"/>
      </w:tblGrid>
      <w:tr w:rsidR="00E929BB" w:rsidRPr="003644EB" w:rsidTr="00E929BB">
        <w:tc>
          <w:tcPr>
            <w:tcW w:w="10467" w:type="dxa"/>
            <w:tcBorders>
              <w:bottom w:val="single" w:sz="2" w:space="0" w:color="000000"/>
            </w:tcBorders>
          </w:tcPr>
          <w:p w:rsidR="00E929BB" w:rsidRDefault="00E929BB" w:rsidP="009F1BB8">
            <w:pPr>
              <w:kinsoku w:val="0"/>
              <w:overflowPunct w:val="0"/>
              <w:autoSpaceDE w:val="0"/>
              <w:autoSpaceDN w:val="0"/>
              <w:adjustRightInd w:val="0"/>
              <w:spacing w:before="60" w:after="0"/>
              <w:ind w:left="57" w:right="159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You </w:t>
            </w:r>
            <w:r w:rsidR="006E3294">
              <w:rPr>
                <w:rFonts w:ascii="Arial" w:hAnsi="Arial" w:cs="Arial"/>
                <w:iCs/>
              </w:rPr>
              <w:t>response should</w:t>
            </w:r>
            <w:r>
              <w:rPr>
                <w:rFonts w:ascii="Arial" w:hAnsi="Arial" w:cs="Arial"/>
                <w:iCs/>
              </w:rPr>
              <w:t>:</w:t>
            </w:r>
          </w:p>
          <w:p w:rsidR="00E929BB" w:rsidRDefault="00850302" w:rsidP="00E929BB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E929BB">
              <w:rPr>
                <w:rFonts w:ascii="Arial" w:hAnsi="Arial" w:cs="Arial"/>
              </w:rPr>
              <w:t xml:space="preserve"> a maximum of 1000 words</w:t>
            </w:r>
          </w:p>
          <w:p w:rsidR="009F1BB8" w:rsidRPr="009F1BB8" w:rsidRDefault="00E929BB" w:rsidP="009F1BB8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60"/>
            </w:pPr>
            <w:r>
              <w:rPr>
                <w:rFonts w:ascii="Arial" w:hAnsi="Arial" w:cs="Arial"/>
              </w:rPr>
              <w:t>make clear reference to sources</w:t>
            </w:r>
          </w:p>
          <w:p w:rsidR="00E929BB" w:rsidRPr="00E929BB" w:rsidRDefault="00E929BB" w:rsidP="009F1BB8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60"/>
              <w:ind w:left="414" w:right="159" w:hanging="357"/>
            </w:pPr>
            <w:proofErr w:type="gramStart"/>
            <w:r w:rsidRPr="009F1BB8">
              <w:rPr>
                <w:rFonts w:ascii="Arial" w:hAnsi="Arial" w:cs="Arial"/>
              </w:rPr>
              <w:t>make</w:t>
            </w:r>
            <w:proofErr w:type="gramEnd"/>
            <w:r w:rsidRPr="009F1BB8">
              <w:rPr>
                <w:rFonts w:ascii="Arial" w:hAnsi="Arial" w:cs="Arial"/>
              </w:rPr>
              <w:t xml:space="preserve"> </w:t>
            </w:r>
            <w:r w:rsidR="00850302" w:rsidRPr="009F1BB8">
              <w:rPr>
                <w:rFonts w:ascii="Arial" w:hAnsi="Arial" w:cs="Arial"/>
              </w:rPr>
              <w:t xml:space="preserve">a </w:t>
            </w:r>
            <w:r w:rsidRPr="009F1BB8">
              <w:rPr>
                <w:rFonts w:ascii="Arial" w:hAnsi="Arial" w:cs="Arial"/>
              </w:rPr>
              <w:t>clear judgement which is supported by</w:t>
            </w:r>
            <w:r w:rsidR="00C93B71" w:rsidRPr="009F1BB8">
              <w:rPr>
                <w:rFonts w:ascii="Arial" w:hAnsi="Arial" w:cs="Arial"/>
              </w:rPr>
              <w:t xml:space="preserve"> arguments</w:t>
            </w:r>
            <w:r w:rsidR="00E70EC0" w:rsidRPr="009F1BB8">
              <w:rPr>
                <w:rFonts w:ascii="Arial" w:hAnsi="Arial" w:cs="Arial"/>
              </w:rPr>
              <w:t>.</w:t>
            </w:r>
          </w:p>
        </w:tc>
      </w:tr>
      <w:tr w:rsidR="00E929BB" w:rsidRPr="003644EB" w:rsidTr="00E929BB">
        <w:tc>
          <w:tcPr>
            <w:tcW w:w="10467" w:type="dxa"/>
            <w:tcBorders>
              <w:top w:val="single" w:sz="2" w:space="0" w:color="000000"/>
              <w:bottom w:val="single" w:sz="2" w:space="0" w:color="000000"/>
            </w:tcBorders>
          </w:tcPr>
          <w:p w:rsidR="00E929BB" w:rsidRPr="003644EB" w:rsidRDefault="00E929BB" w:rsidP="00AD738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7"/>
              <w:rPr>
                <w:rFonts w:ascii="Arial" w:hAnsi="Arial" w:cs="Arial"/>
              </w:rPr>
            </w:pPr>
            <w:r w:rsidRPr="003644EB">
              <w:rPr>
                <w:rFonts w:ascii="Arial" w:hAnsi="Arial" w:cs="Arial"/>
                <w:b/>
                <w:bCs/>
              </w:rPr>
              <w:t>Marking</w:t>
            </w:r>
            <w:r w:rsidRPr="003644E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3644EB">
              <w:rPr>
                <w:rFonts w:ascii="Arial" w:hAnsi="Arial" w:cs="Arial"/>
                <w:b/>
                <w:bCs/>
              </w:rPr>
              <w:t>criteria</w:t>
            </w:r>
          </w:p>
          <w:p w:rsidR="00E929BB" w:rsidRDefault="00E929BB" w:rsidP="00E929B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38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You will be assessed on how well you:</w:t>
            </w:r>
          </w:p>
          <w:p w:rsidR="00E929BB" w:rsidRDefault="00E929BB" w:rsidP="00E929B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7" w:right="1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for different per</w:t>
            </w:r>
            <w:bookmarkStart w:id="0" w:name="_GoBack"/>
            <w:bookmarkEnd w:id="0"/>
            <w:r>
              <w:rPr>
                <w:rFonts w:ascii="Arial" w:hAnsi="Arial" w:cs="Arial"/>
              </w:rPr>
              <w:t>spectives on ownership of cultural heritage</w:t>
            </w:r>
          </w:p>
          <w:p w:rsidR="00E929BB" w:rsidRDefault="00E929BB" w:rsidP="00E929B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7" w:right="1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  <w:r w:rsidRPr="004E590B">
              <w:rPr>
                <w:rFonts w:ascii="Arial" w:hAnsi="Arial" w:cs="Arial"/>
              </w:rPr>
              <w:t xml:space="preserve"> and interpret different types of sources</w:t>
            </w:r>
          </w:p>
          <w:p w:rsidR="00E929BB" w:rsidRDefault="00E929BB" w:rsidP="00E929B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7" w:right="1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your position with relevant and detailed </w:t>
            </w:r>
            <w:r w:rsidR="00C93B71">
              <w:rPr>
                <w:rFonts w:ascii="Arial" w:hAnsi="Arial" w:cs="Arial"/>
              </w:rPr>
              <w:t>arguments</w:t>
            </w:r>
          </w:p>
          <w:p w:rsidR="00E929BB" w:rsidRPr="00E929BB" w:rsidRDefault="00E929BB" w:rsidP="00E929B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442" w:right="1383" w:hanging="357"/>
              <w:rPr>
                <w:rFonts w:ascii="Arial" w:hAnsi="Arial" w:cs="Arial"/>
              </w:rPr>
            </w:pPr>
            <w:proofErr w:type="gramStart"/>
            <w:r w:rsidRPr="00E929BB">
              <w:rPr>
                <w:rFonts w:ascii="Arial" w:hAnsi="Arial" w:cs="Arial"/>
              </w:rPr>
              <w:t>present</w:t>
            </w:r>
            <w:proofErr w:type="gramEnd"/>
            <w:r w:rsidRPr="00E929BB">
              <w:rPr>
                <w:rFonts w:ascii="Arial" w:hAnsi="Arial" w:cs="Arial"/>
              </w:rPr>
              <w:t xml:space="preserve"> a logical, structured and cohesive response</w:t>
            </w:r>
            <w:r w:rsidR="00E70EC0">
              <w:rPr>
                <w:rFonts w:ascii="Arial" w:hAnsi="Arial" w:cs="Arial"/>
              </w:rPr>
              <w:t>.</w:t>
            </w:r>
          </w:p>
        </w:tc>
      </w:tr>
      <w:tr w:rsidR="00E929BB" w:rsidRPr="003644EB" w:rsidTr="00E929BB">
        <w:tc>
          <w:tcPr>
            <w:tcW w:w="10467" w:type="dxa"/>
            <w:tcBorders>
              <w:top w:val="single" w:sz="2" w:space="0" w:color="000000"/>
              <w:bottom w:val="single" w:sz="2" w:space="0" w:color="000000"/>
            </w:tcBorders>
          </w:tcPr>
          <w:p w:rsidR="00E929BB" w:rsidRPr="003644EB" w:rsidRDefault="00E929BB" w:rsidP="00AD738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7"/>
              <w:rPr>
                <w:rFonts w:ascii="Arial" w:hAnsi="Arial" w:cs="Arial"/>
              </w:rPr>
            </w:pPr>
            <w:r w:rsidRPr="003644EB">
              <w:rPr>
                <w:rFonts w:ascii="Arial" w:hAnsi="Arial" w:cs="Arial"/>
                <w:b/>
                <w:bCs/>
              </w:rPr>
              <w:t>Feedback</w:t>
            </w:r>
            <w:r w:rsidRPr="003644E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3644EB">
              <w:rPr>
                <w:rFonts w:ascii="Arial" w:hAnsi="Arial" w:cs="Arial"/>
                <w:b/>
                <w:bCs/>
              </w:rPr>
              <w:t>provided</w:t>
            </w:r>
          </w:p>
          <w:p w:rsidR="00E929BB" w:rsidRPr="005B6206" w:rsidRDefault="00E929BB" w:rsidP="00E929B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7" w:right="39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Informal feedback provided in class during drafting of the response and while working on source analysis</w:t>
            </w:r>
          </w:p>
          <w:p w:rsidR="00E929BB" w:rsidRPr="00E929BB" w:rsidRDefault="00E929BB" w:rsidP="00E929B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442" w:right="391" w:hanging="357"/>
              <w:rPr>
                <w:rFonts w:ascii="Arial" w:hAnsi="Arial" w:cs="Arial"/>
                <w:iCs/>
              </w:rPr>
            </w:pPr>
            <w:r w:rsidRPr="00E929BB">
              <w:rPr>
                <w:rFonts w:ascii="Arial" w:hAnsi="Arial" w:cs="Arial"/>
                <w:iCs/>
              </w:rPr>
              <w:t>Detailed feedback will be provided in relation to marking guidelines with a summative written comment</w:t>
            </w:r>
          </w:p>
        </w:tc>
      </w:tr>
    </w:tbl>
    <w:p w:rsidR="00E929BB" w:rsidRDefault="00E929BB">
      <w:r>
        <w:br w:type="page"/>
      </w:r>
    </w:p>
    <w:p w:rsidR="00DD1507" w:rsidRDefault="00325203" w:rsidP="00E929B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42" w:right="2330"/>
        <w:rPr>
          <w:rFonts w:ascii="Arial" w:hAnsi="Arial" w:cs="Arial"/>
          <w:b/>
          <w:bCs/>
        </w:rPr>
      </w:pPr>
      <w:r w:rsidRPr="00E929BB">
        <w:rPr>
          <w:rFonts w:ascii="Arial" w:hAnsi="Arial" w:cs="Arial"/>
          <w:b/>
          <w:bCs/>
        </w:rPr>
        <w:lastRenderedPageBreak/>
        <w:t>Marking guidelines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  <w:tblCaption w:val="Marking Guidelines table"/>
        <w:tblDescription w:val="The marking guidelines table provides examples of the knowledge, understanding and skills a student has displayed and the allocated mark range."/>
      </w:tblPr>
      <w:tblGrid>
        <w:gridCol w:w="8991"/>
        <w:gridCol w:w="1499"/>
      </w:tblGrid>
      <w:tr w:rsidR="00351C56" w:rsidTr="00AD7389">
        <w:tc>
          <w:tcPr>
            <w:tcW w:w="8505" w:type="dxa"/>
          </w:tcPr>
          <w:p w:rsidR="00351C56" w:rsidRPr="00351C56" w:rsidRDefault="00351C56" w:rsidP="00E929BB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student:</w:t>
            </w:r>
          </w:p>
        </w:tc>
        <w:tc>
          <w:tcPr>
            <w:tcW w:w="1418" w:type="dxa"/>
          </w:tcPr>
          <w:p w:rsidR="00351C56" w:rsidRPr="00351C56" w:rsidRDefault="00351C56" w:rsidP="00E929BB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351C56">
              <w:rPr>
                <w:rFonts w:ascii="Arial" w:hAnsi="Arial" w:cs="Arial"/>
                <w:b/>
              </w:rPr>
              <w:t>Mark range</w:t>
            </w:r>
          </w:p>
        </w:tc>
      </w:tr>
      <w:tr w:rsidR="00351C56" w:rsidTr="00AD7389">
        <w:tc>
          <w:tcPr>
            <w:tcW w:w="8505" w:type="dxa"/>
          </w:tcPr>
          <w:p w:rsidR="00351C56" w:rsidRDefault="00833B95" w:rsidP="00E929B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1C56" w:rsidRPr="00351C56">
              <w:rPr>
                <w:rFonts w:ascii="Arial" w:hAnsi="Arial" w:cs="Arial"/>
              </w:rPr>
              <w:t>resents a critical and sustained argument</w:t>
            </w:r>
            <w:r w:rsidR="00351C56">
              <w:rPr>
                <w:rFonts w:ascii="Arial" w:hAnsi="Arial" w:cs="Arial"/>
              </w:rPr>
              <w:t>, which demonstrates a comprehensive understanding</w:t>
            </w:r>
            <w:r>
              <w:rPr>
                <w:rFonts w:ascii="Arial" w:hAnsi="Arial" w:cs="Arial"/>
              </w:rPr>
              <w:t xml:space="preserve"> </w:t>
            </w:r>
            <w:r w:rsidR="0093599B">
              <w:rPr>
                <w:rFonts w:ascii="Arial" w:hAnsi="Arial" w:cs="Arial"/>
              </w:rPr>
              <w:t xml:space="preserve">of </w:t>
            </w:r>
            <w:r w:rsidR="00160C88">
              <w:rPr>
                <w:rFonts w:ascii="Arial" w:hAnsi="Arial" w:cs="Arial"/>
              </w:rPr>
              <w:t xml:space="preserve">the </w:t>
            </w:r>
            <w:r w:rsidR="00D12362">
              <w:rPr>
                <w:rFonts w:ascii="Arial" w:hAnsi="Arial" w:cs="Arial"/>
              </w:rPr>
              <w:t>issues related to</w:t>
            </w:r>
            <w:r>
              <w:rPr>
                <w:rFonts w:ascii="Arial" w:hAnsi="Arial" w:cs="Arial"/>
              </w:rPr>
              <w:t xml:space="preserve"> cultural property</w:t>
            </w:r>
          </w:p>
          <w:p w:rsidR="00833B95" w:rsidRDefault="0087746E" w:rsidP="00E929B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presents </w:t>
            </w:r>
            <w:r w:rsidR="00850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comprehen</w:t>
            </w:r>
            <w:r w:rsidR="00833B95">
              <w:rPr>
                <w:rFonts w:ascii="Arial" w:hAnsi="Arial" w:cs="Arial"/>
              </w:rPr>
              <w:t xml:space="preserve">sive understanding of different perspectives and </w:t>
            </w:r>
            <w:r w:rsidR="00C93B71">
              <w:rPr>
                <w:rFonts w:ascii="Arial" w:hAnsi="Arial" w:cs="Arial"/>
              </w:rPr>
              <w:t xml:space="preserve">interpretations </w:t>
            </w:r>
            <w:r w:rsidR="00833B95">
              <w:rPr>
                <w:rFonts w:ascii="Arial" w:hAnsi="Arial" w:cs="Arial"/>
              </w:rPr>
              <w:t>about</w:t>
            </w:r>
            <w:r w:rsidR="00C93B71">
              <w:rPr>
                <w:rFonts w:ascii="Arial" w:hAnsi="Arial" w:cs="Arial"/>
              </w:rPr>
              <w:t xml:space="preserve"> the ownership and return of</w:t>
            </w:r>
            <w:r w:rsidR="00833B95">
              <w:rPr>
                <w:rFonts w:ascii="Arial" w:hAnsi="Arial" w:cs="Arial"/>
              </w:rPr>
              <w:t xml:space="preserve"> cultural property</w:t>
            </w:r>
          </w:p>
          <w:p w:rsidR="0072410C" w:rsidRDefault="0072410C" w:rsidP="00E929B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analyses and interp</w:t>
            </w:r>
            <w:r w:rsidR="00C93B71">
              <w:rPr>
                <w:rFonts w:ascii="Arial" w:hAnsi="Arial" w:cs="Arial"/>
              </w:rPr>
              <w:t>rets different types of sources</w:t>
            </w:r>
          </w:p>
          <w:p w:rsidR="00833B95" w:rsidRDefault="00833B95" w:rsidP="00E929B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the a</w:t>
            </w:r>
            <w:r w:rsidR="0087746E">
              <w:rPr>
                <w:rFonts w:ascii="Arial" w:hAnsi="Arial" w:cs="Arial"/>
              </w:rPr>
              <w:t>rgu</w:t>
            </w:r>
            <w:r w:rsidR="00C93B71">
              <w:rPr>
                <w:rFonts w:ascii="Arial" w:hAnsi="Arial" w:cs="Arial"/>
              </w:rPr>
              <w:t xml:space="preserve">ment with relevant </w:t>
            </w:r>
            <w:r>
              <w:rPr>
                <w:rFonts w:ascii="Arial" w:hAnsi="Arial" w:cs="Arial"/>
              </w:rPr>
              <w:t>evidence from a range of sources</w:t>
            </w:r>
          </w:p>
          <w:p w:rsidR="00432E0C" w:rsidRPr="00E929BB" w:rsidRDefault="00694FAC" w:rsidP="00E929BB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7746E" w:rsidRPr="0087746E">
              <w:rPr>
                <w:rFonts w:ascii="Arial" w:hAnsi="Arial" w:cs="Arial"/>
              </w:rPr>
              <w:t xml:space="preserve">ommunicates high level argument through well-structured and detailed texts </w:t>
            </w:r>
          </w:p>
        </w:tc>
        <w:tc>
          <w:tcPr>
            <w:tcW w:w="1418" w:type="dxa"/>
            <w:vAlign w:val="center"/>
          </w:tcPr>
          <w:p w:rsidR="0087746E" w:rsidRPr="0087746E" w:rsidRDefault="00E92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12362">
              <w:rPr>
                <w:rFonts w:ascii="Arial" w:hAnsi="Arial" w:cs="Arial"/>
              </w:rPr>
              <w:t>5</w:t>
            </w:r>
            <w:r w:rsidR="00DD1507">
              <w:rPr>
                <w:rFonts w:ascii="Arial" w:hAnsi="Arial" w:cs="Arial"/>
              </w:rPr>
              <w:t>–</w:t>
            </w:r>
            <w:r w:rsidR="00D12362">
              <w:rPr>
                <w:rFonts w:ascii="Arial" w:hAnsi="Arial" w:cs="Arial"/>
              </w:rPr>
              <w:t>30</w:t>
            </w:r>
          </w:p>
        </w:tc>
      </w:tr>
      <w:tr w:rsidR="00351C56" w:rsidTr="00AD7389">
        <w:trPr>
          <w:trHeight w:val="2423"/>
        </w:trPr>
        <w:tc>
          <w:tcPr>
            <w:tcW w:w="8505" w:type="dxa"/>
          </w:tcPr>
          <w:p w:rsidR="0087746E" w:rsidRDefault="0087746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51C56">
              <w:rPr>
                <w:rFonts w:ascii="Arial" w:hAnsi="Arial" w:cs="Arial"/>
              </w:rPr>
              <w:t xml:space="preserve">resents a </w:t>
            </w:r>
            <w:r>
              <w:rPr>
                <w:rFonts w:ascii="Arial" w:hAnsi="Arial" w:cs="Arial"/>
              </w:rPr>
              <w:t xml:space="preserve">detailed </w:t>
            </w:r>
            <w:r w:rsidRPr="00351C56">
              <w:rPr>
                <w:rFonts w:ascii="Arial" w:hAnsi="Arial" w:cs="Arial"/>
              </w:rPr>
              <w:t>argument</w:t>
            </w:r>
            <w:r>
              <w:rPr>
                <w:rFonts w:ascii="Arial" w:hAnsi="Arial" w:cs="Arial"/>
              </w:rPr>
              <w:t>, which demonstrates a thorough understanding</w:t>
            </w:r>
            <w:r w:rsidR="0093599B">
              <w:rPr>
                <w:rFonts w:ascii="Arial" w:hAnsi="Arial" w:cs="Arial"/>
              </w:rPr>
              <w:t xml:space="preserve"> of </w:t>
            </w:r>
            <w:r w:rsidR="00160C88">
              <w:rPr>
                <w:rFonts w:ascii="Arial" w:hAnsi="Arial" w:cs="Arial"/>
              </w:rPr>
              <w:t xml:space="preserve">the </w:t>
            </w:r>
            <w:r w:rsidR="00C93B71">
              <w:rPr>
                <w:rFonts w:ascii="Arial" w:hAnsi="Arial" w:cs="Arial"/>
              </w:rPr>
              <w:t>issues related to</w:t>
            </w:r>
            <w:r>
              <w:rPr>
                <w:rFonts w:ascii="Arial" w:hAnsi="Arial" w:cs="Arial"/>
              </w:rPr>
              <w:t xml:space="preserve"> cultural property</w:t>
            </w:r>
          </w:p>
          <w:p w:rsidR="0087746E" w:rsidRDefault="0087746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presents </w:t>
            </w:r>
            <w:r w:rsidR="00850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thorough understanding of different perspectives and interpretations about </w:t>
            </w:r>
            <w:r w:rsidR="00C93B71">
              <w:rPr>
                <w:rFonts w:ascii="Arial" w:hAnsi="Arial" w:cs="Arial"/>
              </w:rPr>
              <w:t xml:space="preserve">the ownership and return of </w:t>
            </w:r>
            <w:r>
              <w:rPr>
                <w:rFonts w:ascii="Arial" w:hAnsi="Arial" w:cs="Arial"/>
              </w:rPr>
              <w:t>cultural property</w:t>
            </w:r>
          </w:p>
          <w:p w:rsidR="0072410C" w:rsidRPr="00D12362" w:rsidRDefault="007241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 w:rsidRPr="00352B7E">
              <w:rPr>
                <w:rFonts w:ascii="Arial" w:hAnsi="Arial" w:cs="Arial"/>
              </w:rPr>
              <w:t>discusses and interprets different type</w:t>
            </w:r>
            <w:r w:rsidR="00C93B71">
              <w:rPr>
                <w:rFonts w:ascii="Arial" w:hAnsi="Arial" w:cs="Arial"/>
              </w:rPr>
              <w:t>s of sources</w:t>
            </w:r>
          </w:p>
          <w:p w:rsidR="0087746E" w:rsidRDefault="0087746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the argument </w:t>
            </w:r>
            <w:r w:rsidR="00432E0C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evidence from a range of sources</w:t>
            </w:r>
          </w:p>
          <w:p w:rsidR="00432E0C" w:rsidRPr="00432E0C" w:rsidRDefault="00694FAC" w:rsidP="00E929BB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7746E" w:rsidRPr="00E446EA">
              <w:rPr>
                <w:rFonts w:ascii="Arial" w:hAnsi="Arial" w:cs="Arial"/>
              </w:rPr>
              <w:t xml:space="preserve">ommunicates a </w:t>
            </w:r>
            <w:r w:rsidR="0087746E" w:rsidRPr="0087746E">
              <w:rPr>
                <w:rFonts w:ascii="Arial" w:hAnsi="Arial" w:cs="Arial"/>
              </w:rPr>
              <w:t xml:space="preserve">coherent and sustained argument through well-structured and detailed </w:t>
            </w:r>
            <w:r w:rsidR="00432E0C">
              <w:rPr>
                <w:rFonts w:ascii="Arial" w:hAnsi="Arial" w:cs="Arial"/>
              </w:rPr>
              <w:t>texts</w:t>
            </w:r>
          </w:p>
        </w:tc>
        <w:tc>
          <w:tcPr>
            <w:tcW w:w="1418" w:type="dxa"/>
            <w:vAlign w:val="center"/>
          </w:tcPr>
          <w:p w:rsidR="00432E0C" w:rsidRPr="00432E0C" w:rsidRDefault="005C43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362">
              <w:rPr>
                <w:rFonts w:ascii="Arial" w:hAnsi="Arial" w:cs="Arial"/>
              </w:rPr>
              <w:t>9</w:t>
            </w:r>
            <w:r w:rsidR="00432E0C">
              <w:rPr>
                <w:rFonts w:ascii="Arial" w:hAnsi="Arial" w:cs="Arial"/>
              </w:rPr>
              <w:t>–2</w:t>
            </w:r>
            <w:r w:rsidR="00D12362">
              <w:rPr>
                <w:rFonts w:ascii="Arial" w:hAnsi="Arial" w:cs="Arial"/>
              </w:rPr>
              <w:t>4</w:t>
            </w:r>
          </w:p>
        </w:tc>
      </w:tr>
      <w:tr w:rsidR="00351C56" w:rsidTr="00AD7389">
        <w:tc>
          <w:tcPr>
            <w:tcW w:w="8505" w:type="dxa"/>
          </w:tcPr>
          <w:p w:rsidR="00432E0C" w:rsidRDefault="00432E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51C56">
              <w:rPr>
                <w:rFonts w:ascii="Arial" w:hAnsi="Arial" w:cs="Arial"/>
              </w:rPr>
              <w:t xml:space="preserve">resents a </w:t>
            </w:r>
            <w:r>
              <w:rPr>
                <w:rFonts w:ascii="Arial" w:hAnsi="Arial" w:cs="Arial"/>
              </w:rPr>
              <w:t>sound</w:t>
            </w:r>
            <w:r w:rsidRPr="00351C56">
              <w:rPr>
                <w:rFonts w:ascii="Arial" w:hAnsi="Arial" w:cs="Arial"/>
              </w:rPr>
              <w:t xml:space="preserve"> argument</w:t>
            </w:r>
            <w:r>
              <w:rPr>
                <w:rFonts w:ascii="Arial" w:hAnsi="Arial" w:cs="Arial"/>
              </w:rPr>
              <w:t>, which demonstrate</w:t>
            </w:r>
            <w:r w:rsidR="00850302">
              <w:rPr>
                <w:rFonts w:ascii="Arial" w:hAnsi="Arial" w:cs="Arial"/>
              </w:rPr>
              <w:t>s an</w:t>
            </w:r>
            <w:r>
              <w:rPr>
                <w:rFonts w:ascii="Arial" w:hAnsi="Arial" w:cs="Arial"/>
              </w:rPr>
              <w:t xml:space="preserve"> understanding</w:t>
            </w:r>
            <w:r w:rsidR="0093599B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the </w:t>
            </w:r>
            <w:r w:rsidR="00C93B71">
              <w:rPr>
                <w:rFonts w:ascii="Arial" w:hAnsi="Arial" w:cs="Arial"/>
              </w:rPr>
              <w:t>issues related to</w:t>
            </w:r>
            <w:r>
              <w:rPr>
                <w:rFonts w:ascii="Arial" w:hAnsi="Arial" w:cs="Arial"/>
              </w:rPr>
              <w:t xml:space="preserve"> cultural property</w:t>
            </w:r>
          </w:p>
          <w:p w:rsidR="00432E0C" w:rsidRDefault="00432E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presents an understanding of different perspectives and </w:t>
            </w:r>
            <w:r w:rsidR="00C93B71">
              <w:rPr>
                <w:rFonts w:ascii="Arial" w:hAnsi="Arial" w:cs="Arial"/>
              </w:rPr>
              <w:t xml:space="preserve">interpretations </w:t>
            </w:r>
            <w:r>
              <w:rPr>
                <w:rFonts w:ascii="Arial" w:hAnsi="Arial" w:cs="Arial"/>
              </w:rPr>
              <w:t xml:space="preserve">about </w:t>
            </w:r>
            <w:r w:rsidR="00C93B71">
              <w:rPr>
                <w:rFonts w:ascii="Arial" w:hAnsi="Arial" w:cs="Arial"/>
              </w:rPr>
              <w:t xml:space="preserve">the ownership and return of </w:t>
            </w:r>
            <w:r>
              <w:rPr>
                <w:rFonts w:ascii="Arial" w:hAnsi="Arial" w:cs="Arial"/>
              </w:rPr>
              <w:t>cultural property</w:t>
            </w:r>
          </w:p>
          <w:p w:rsidR="0072410C" w:rsidRDefault="007241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</w:t>
            </w:r>
            <w:r w:rsidRPr="00D12362">
              <w:rPr>
                <w:rFonts w:ascii="Arial" w:hAnsi="Arial" w:cs="Arial"/>
              </w:rPr>
              <w:t>some interpretatio</w:t>
            </w:r>
            <w:r w:rsidR="00C93B71">
              <w:rPr>
                <w:rFonts w:ascii="Arial" w:hAnsi="Arial" w:cs="Arial"/>
              </w:rPr>
              <w:t>n of different types of sources</w:t>
            </w:r>
          </w:p>
          <w:p w:rsidR="00432E0C" w:rsidRDefault="00432E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the argument with </w:t>
            </w:r>
            <w:r w:rsidR="00850302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evidence from sources</w:t>
            </w:r>
          </w:p>
          <w:p w:rsidR="00351C56" w:rsidRPr="00432E0C" w:rsidRDefault="00694FAC" w:rsidP="00E929BB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32E0C" w:rsidRPr="00E446EA">
              <w:rPr>
                <w:rFonts w:ascii="Arial" w:hAnsi="Arial" w:cs="Arial"/>
              </w:rPr>
              <w:t xml:space="preserve">ommunicates a </w:t>
            </w:r>
            <w:r w:rsidR="00432E0C" w:rsidRPr="00432E0C">
              <w:rPr>
                <w:rFonts w:ascii="Arial" w:hAnsi="Arial" w:cs="Arial"/>
              </w:rPr>
              <w:t>general argument through well-structured texts</w:t>
            </w:r>
          </w:p>
        </w:tc>
        <w:tc>
          <w:tcPr>
            <w:tcW w:w="1418" w:type="dxa"/>
            <w:vAlign w:val="center"/>
          </w:tcPr>
          <w:p w:rsidR="00432E0C" w:rsidRPr="00432E0C" w:rsidRDefault="005C43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36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–1</w:t>
            </w:r>
            <w:r w:rsidR="00D12362">
              <w:rPr>
                <w:rFonts w:ascii="Arial" w:hAnsi="Arial" w:cs="Arial"/>
              </w:rPr>
              <w:t>8</w:t>
            </w:r>
          </w:p>
        </w:tc>
      </w:tr>
      <w:tr w:rsidR="00351C56" w:rsidTr="00AD7389">
        <w:tc>
          <w:tcPr>
            <w:tcW w:w="8505" w:type="dxa"/>
          </w:tcPr>
          <w:p w:rsidR="00432E0C" w:rsidRDefault="0016695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a basic description </w:t>
            </w:r>
            <w:r w:rsidR="00850302">
              <w:rPr>
                <w:rFonts w:ascii="Arial" w:hAnsi="Arial" w:cs="Arial"/>
              </w:rPr>
              <w:t xml:space="preserve">which demonstrates some understanding </w:t>
            </w:r>
            <w:r>
              <w:rPr>
                <w:rFonts w:ascii="Arial" w:hAnsi="Arial" w:cs="Arial"/>
              </w:rPr>
              <w:t xml:space="preserve">of </w:t>
            </w:r>
            <w:r w:rsidR="00432E0C">
              <w:rPr>
                <w:rFonts w:ascii="Arial" w:hAnsi="Arial" w:cs="Arial"/>
              </w:rPr>
              <w:t xml:space="preserve">the </w:t>
            </w:r>
            <w:r w:rsidR="00C93B71">
              <w:rPr>
                <w:rFonts w:ascii="Arial" w:hAnsi="Arial" w:cs="Arial"/>
              </w:rPr>
              <w:t>issues related to</w:t>
            </w:r>
            <w:r w:rsidR="00432E0C">
              <w:rPr>
                <w:rFonts w:ascii="Arial" w:hAnsi="Arial" w:cs="Arial"/>
              </w:rPr>
              <w:t xml:space="preserve"> cultural property</w:t>
            </w:r>
          </w:p>
          <w:p w:rsidR="00432E0C" w:rsidRDefault="00432E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reference to different perspectives and</w:t>
            </w:r>
            <w:r w:rsidR="00166954"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interpretations </w:t>
            </w:r>
            <w:r w:rsidR="00160C88">
              <w:rPr>
                <w:rFonts w:ascii="Arial" w:hAnsi="Arial" w:cs="Arial"/>
              </w:rPr>
              <w:t>about the ownership and return of</w:t>
            </w:r>
            <w:r>
              <w:rPr>
                <w:rFonts w:ascii="Arial" w:hAnsi="Arial" w:cs="Arial"/>
              </w:rPr>
              <w:t xml:space="preserve"> cultural property</w:t>
            </w:r>
          </w:p>
          <w:p w:rsidR="0072410C" w:rsidRPr="00D12362" w:rsidRDefault="007241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</w:t>
            </w:r>
            <w:r w:rsidRPr="00D12362">
              <w:rPr>
                <w:b/>
                <w:bCs/>
              </w:rPr>
              <w:t xml:space="preserve"> </w:t>
            </w:r>
            <w:r w:rsidRPr="00D12362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formation from</w:t>
            </w:r>
            <w:r w:rsidRPr="00D12362">
              <w:rPr>
                <w:rFonts w:ascii="Arial" w:hAnsi="Arial" w:cs="Arial"/>
              </w:rPr>
              <w:t xml:space="preserve"> sources</w:t>
            </w:r>
          </w:p>
          <w:p w:rsidR="00351C56" w:rsidRPr="00432E0C" w:rsidRDefault="00694FAC" w:rsidP="00E929BB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3599B">
              <w:rPr>
                <w:rFonts w:ascii="Arial" w:hAnsi="Arial" w:cs="Arial"/>
              </w:rPr>
              <w:t>ommunicates</w:t>
            </w:r>
            <w:r w:rsidR="00432E0C" w:rsidRPr="00E446EA">
              <w:rPr>
                <w:rFonts w:ascii="Arial" w:hAnsi="Arial" w:cs="Arial"/>
              </w:rPr>
              <w:t xml:space="preserve"> </w:t>
            </w:r>
            <w:r w:rsidR="00432E0C" w:rsidRPr="00432E0C">
              <w:rPr>
                <w:rFonts w:ascii="Arial" w:hAnsi="Arial" w:cs="Arial"/>
              </w:rPr>
              <w:t>basic information through descriptive texts</w:t>
            </w:r>
          </w:p>
        </w:tc>
        <w:tc>
          <w:tcPr>
            <w:tcW w:w="1418" w:type="dxa"/>
            <w:vAlign w:val="center"/>
          </w:tcPr>
          <w:p w:rsidR="00351C56" w:rsidRPr="00432E0C" w:rsidRDefault="00D12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C4395">
              <w:rPr>
                <w:rFonts w:ascii="Arial" w:hAnsi="Arial" w:cs="Arial"/>
              </w:rPr>
              <w:t>–1</w:t>
            </w:r>
            <w:r>
              <w:rPr>
                <w:rFonts w:ascii="Arial" w:hAnsi="Arial" w:cs="Arial"/>
              </w:rPr>
              <w:t>2</w:t>
            </w:r>
          </w:p>
        </w:tc>
      </w:tr>
      <w:tr w:rsidR="00351C56" w:rsidTr="00AD7389">
        <w:tc>
          <w:tcPr>
            <w:tcW w:w="8505" w:type="dxa"/>
          </w:tcPr>
          <w:p w:rsidR="00166954" w:rsidRDefault="00421FF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</w:t>
            </w:r>
            <w:r w:rsidR="00C93B71">
              <w:rPr>
                <w:rFonts w:ascii="Arial" w:hAnsi="Arial" w:cs="Arial"/>
              </w:rPr>
              <w:t xml:space="preserve"> statements about </w:t>
            </w:r>
            <w:r w:rsidR="00166954">
              <w:rPr>
                <w:rFonts w:ascii="Arial" w:hAnsi="Arial" w:cs="Arial"/>
              </w:rPr>
              <w:t>cultural property with minimal detail</w:t>
            </w:r>
          </w:p>
          <w:p w:rsidR="00694FAC" w:rsidRDefault="00694FA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a limited understanding of</w:t>
            </w:r>
            <w:r w:rsidR="0093599B">
              <w:rPr>
                <w:rFonts w:ascii="Arial" w:hAnsi="Arial" w:cs="Arial"/>
              </w:rPr>
              <w:t xml:space="preserve"> the different perspectives </w:t>
            </w:r>
            <w:r w:rsidR="00160C88">
              <w:rPr>
                <w:rFonts w:ascii="Arial" w:hAnsi="Arial" w:cs="Arial"/>
              </w:rPr>
              <w:t>about the ownership and return of</w:t>
            </w:r>
            <w:r>
              <w:rPr>
                <w:rFonts w:ascii="Arial" w:hAnsi="Arial" w:cs="Arial"/>
              </w:rPr>
              <w:t xml:space="preserve"> cultural property</w:t>
            </w:r>
          </w:p>
          <w:p w:rsidR="00351C56" w:rsidRPr="00694FAC" w:rsidRDefault="00421FF4" w:rsidP="00E929BB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refer</w:t>
            </w:r>
            <w:r w:rsidR="00694FAC">
              <w:rPr>
                <w:rFonts w:ascii="Arial" w:hAnsi="Arial" w:cs="Arial"/>
              </w:rPr>
              <w:t xml:space="preserve"> to sources</w:t>
            </w:r>
          </w:p>
        </w:tc>
        <w:tc>
          <w:tcPr>
            <w:tcW w:w="1418" w:type="dxa"/>
            <w:vAlign w:val="center"/>
          </w:tcPr>
          <w:p w:rsidR="00351C56" w:rsidRPr="00432E0C" w:rsidRDefault="00160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softHyphen/>
              <w:t>–</w:t>
            </w:r>
            <w:r w:rsidR="00D12362">
              <w:rPr>
                <w:rFonts w:ascii="Arial" w:hAnsi="Arial" w:cs="Arial"/>
              </w:rPr>
              <w:t>6</w:t>
            </w:r>
          </w:p>
        </w:tc>
      </w:tr>
    </w:tbl>
    <w:p w:rsidR="00351C56" w:rsidRPr="005B6206" w:rsidRDefault="00351C56">
      <w:pPr>
        <w:rPr>
          <w:rFonts w:ascii="Arial" w:hAnsi="Arial" w:cs="Arial"/>
          <w:b/>
          <w:sz w:val="24"/>
          <w:szCs w:val="24"/>
        </w:rPr>
      </w:pPr>
    </w:p>
    <w:sectPr w:rsidR="00351C56" w:rsidRPr="005B6206" w:rsidSect="00364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C72"/>
    <w:multiLevelType w:val="hybridMultilevel"/>
    <w:tmpl w:val="A46C542E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0214C1"/>
    <w:multiLevelType w:val="hybridMultilevel"/>
    <w:tmpl w:val="ACB6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3BEE"/>
    <w:multiLevelType w:val="hybridMultilevel"/>
    <w:tmpl w:val="D84A5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79FD"/>
    <w:multiLevelType w:val="hybridMultilevel"/>
    <w:tmpl w:val="615A4C9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956284B"/>
    <w:multiLevelType w:val="hybridMultilevel"/>
    <w:tmpl w:val="F9167A9C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60586113"/>
    <w:multiLevelType w:val="hybridMultilevel"/>
    <w:tmpl w:val="E8964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B26"/>
    <w:multiLevelType w:val="hybridMultilevel"/>
    <w:tmpl w:val="897CF57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637A17E2"/>
    <w:multiLevelType w:val="hybridMultilevel"/>
    <w:tmpl w:val="CD3C2290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7CAC1A63"/>
    <w:multiLevelType w:val="hybridMultilevel"/>
    <w:tmpl w:val="0FCAFDDA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EB"/>
    <w:rsid w:val="000A69C9"/>
    <w:rsid w:val="00116912"/>
    <w:rsid w:val="00160C88"/>
    <w:rsid w:val="00166954"/>
    <w:rsid w:val="001D6F24"/>
    <w:rsid w:val="00237603"/>
    <w:rsid w:val="002B1185"/>
    <w:rsid w:val="002D5952"/>
    <w:rsid w:val="002F02AB"/>
    <w:rsid w:val="00325203"/>
    <w:rsid w:val="00332A8C"/>
    <w:rsid w:val="00351C56"/>
    <w:rsid w:val="003644EB"/>
    <w:rsid w:val="00393A1C"/>
    <w:rsid w:val="003A5945"/>
    <w:rsid w:val="003D3F57"/>
    <w:rsid w:val="00421FF4"/>
    <w:rsid w:val="00432E0C"/>
    <w:rsid w:val="004543CB"/>
    <w:rsid w:val="004E590B"/>
    <w:rsid w:val="0052114F"/>
    <w:rsid w:val="005B6206"/>
    <w:rsid w:val="005C4395"/>
    <w:rsid w:val="00601457"/>
    <w:rsid w:val="00622954"/>
    <w:rsid w:val="00665C1B"/>
    <w:rsid w:val="00694FAC"/>
    <w:rsid w:val="006D10BC"/>
    <w:rsid w:val="006D463F"/>
    <w:rsid w:val="006E3294"/>
    <w:rsid w:val="007051BA"/>
    <w:rsid w:val="0072410C"/>
    <w:rsid w:val="0078190D"/>
    <w:rsid w:val="007D6794"/>
    <w:rsid w:val="007F1245"/>
    <w:rsid w:val="00830732"/>
    <w:rsid w:val="00833B95"/>
    <w:rsid w:val="00850302"/>
    <w:rsid w:val="0087746E"/>
    <w:rsid w:val="0093599B"/>
    <w:rsid w:val="009F1BB8"/>
    <w:rsid w:val="00A4245E"/>
    <w:rsid w:val="00AC2507"/>
    <w:rsid w:val="00AD7389"/>
    <w:rsid w:val="00B17217"/>
    <w:rsid w:val="00B4575C"/>
    <w:rsid w:val="00BA28B9"/>
    <w:rsid w:val="00BD067C"/>
    <w:rsid w:val="00BF7914"/>
    <w:rsid w:val="00C573D8"/>
    <w:rsid w:val="00C91061"/>
    <w:rsid w:val="00C93B71"/>
    <w:rsid w:val="00CC3906"/>
    <w:rsid w:val="00D05FBA"/>
    <w:rsid w:val="00D12362"/>
    <w:rsid w:val="00DD1507"/>
    <w:rsid w:val="00DE7366"/>
    <w:rsid w:val="00DE7DEF"/>
    <w:rsid w:val="00E1653A"/>
    <w:rsid w:val="00E70EC0"/>
    <w:rsid w:val="00E929BB"/>
    <w:rsid w:val="00EA7ECD"/>
    <w:rsid w:val="00F30399"/>
    <w:rsid w:val="00F46D07"/>
    <w:rsid w:val="00FB5AA4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44EB"/>
    <w:pPr>
      <w:autoSpaceDE w:val="0"/>
      <w:autoSpaceDN w:val="0"/>
      <w:adjustRightInd w:val="0"/>
      <w:spacing w:before="24" w:after="0" w:line="240" w:lineRule="auto"/>
      <w:ind w:left="2263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644EB"/>
    <w:rPr>
      <w:rFonts w:ascii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6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90D"/>
    <w:pPr>
      <w:ind w:left="720"/>
      <w:contextualSpacing/>
    </w:pPr>
  </w:style>
  <w:style w:type="paragraph" w:customStyle="1" w:styleId="Default">
    <w:name w:val="Default"/>
    <w:rsid w:val="002D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44EB"/>
    <w:pPr>
      <w:autoSpaceDE w:val="0"/>
      <w:autoSpaceDN w:val="0"/>
      <w:adjustRightInd w:val="0"/>
      <w:spacing w:before="24" w:after="0" w:line="240" w:lineRule="auto"/>
      <w:ind w:left="2263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644EB"/>
    <w:rPr>
      <w:rFonts w:ascii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6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90D"/>
    <w:pPr>
      <w:ind w:left="720"/>
      <w:contextualSpacing/>
    </w:pPr>
  </w:style>
  <w:style w:type="paragraph" w:customStyle="1" w:styleId="Default">
    <w:name w:val="Default"/>
    <w:rsid w:val="002D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9B92-AF20-4592-8BD2-04D1EF7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Condell</dc:creator>
  <cp:lastModifiedBy>Emmanuel Karayiannis</cp:lastModifiedBy>
  <cp:revision>20</cp:revision>
  <cp:lastPrinted>2017-11-10T05:10:00Z</cp:lastPrinted>
  <dcterms:created xsi:type="dcterms:W3CDTF">2017-08-09T05:11:00Z</dcterms:created>
  <dcterms:modified xsi:type="dcterms:W3CDTF">2017-11-17T02:49:00Z</dcterms:modified>
</cp:coreProperties>
</file>